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C77" w:rsidRDefault="00EB41D3" w:rsidP="006166F6">
      <w:pPr>
        <w:jc w:val="center"/>
        <w:rPr>
          <w:b/>
          <w:sz w:val="26"/>
          <w:szCs w:val="26"/>
        </w:rPr>
      </w:pPr>
      <w:r w:rsidRPr="00163A87">
        <w:rPr>
          <w:b/>
          <w:sz w:val="26"/>
          <w:szCs w:val="26"/>
        </w:rPr>
        <w:t>Антимонопольный контроль:</w:t>
      </w:r>
    </w:p>
    <w:p w:rsidR="006166F6" w:rsidRPr="00163A87" w:rsidRDefault="00EB41D3" w:rsidP="006166F6">
      <w:pPr>
        <w:jc w:val="center"/>
        <w:rPr>
          <w:b/>
          <w:sz w:val="26"/>
          <w:szCs w:val="26"/>
        </w:rPr>
      </w:pPr>
      <w:r w:rsidRPr="00163A87">
        <w:rPr>
          <w:b/>
          <w:sz w:val="26"/>
          <w:szCs w:val="26"/>
        </w:rPr>
        <w:t xml:space="preserve"> </w:t>
      </w:r>
      <w:r w:rsidR="009E13C4" w:rsidRPr="00163A87">
        <w:rPr>
          <w:b/>
          <w:sz w:val="26"/>
          <w:szCs w:val="26"/>
        </w:rPr>
        <w:t>выявлени</w:t>
      </w:r>
      <w:r w:rsidR="006166F6" w:rsidRPr="00163A87">
        <w:rPr>
          <w:b/>
          <w:sz w:val="26"/>
          <w:szCs w:val="26"/>
        </w:rPr>
        <w:t>е</w:t>
      </w:r>
      <w:r w:rsidR="009E13C4" w:rsidRPr="00163A87">
        <w:rPr>
          <w:b/>
          <w:sz w:val="26"/>
          <w:szCs w:val="26"/>
        </w:rPr>
        <w:t xml:space="preserve"> и пресечения нарушений Закон</w:t>
      </w:r>
      <w:r w:rsidR="00C56AAE" w:rsidRPr="00163A87">
        <w:rPr>
          <w:b/>
          <w:sz w:val="26"/>
          <w:szCs w:val="26"/>
        </w:rPr>
        <w:t>а</w:t>
      </w:r>
      <w:r w:rsidR="005021ED" w:rsidRPr="00163A87">
        <w:rPr>
          <w:b/>
          <w:sz w:val="26"/>
          <w:szCs w:val="26"/>
        </w:rPr>
        <w:t xml:space="preserve"> </w:t>
      </w:r>
      <w:r w:rsidR="00BE26D8" w:rsidRPr="00163A87">
        <w:rPr>
          <w:b/>
          <w:sz w:val="26"/>
          <w:szCs w:val="26"/>
        </w:rPr>
        <w:t xml:space="preserve">о </w:t>
      </w:r>
      <w:r w:rsidRPr="00163A87">
        <w:rPr>
          <w:b/>
          <w:sz w:val="26"/>
          <w:szCs w:val="26"/>
        </w:rPr>
        <w:t xml:space="preserve">защите </w:t>
      </w:r>
      <w:r w:rsidR="009E13C4" w:rsidRPr="00163A87">
        <w:rPr>
          <w:b/>
          <w:sz w:val="26"/>
          <w:szCs w:val="26"/>
        </w:rPr>
        <w:t>конкуренции</w:t>
      </w:r>
      <w:r w:rsidR="00902D50" w:rsidRPr="00163A87">
        <w:rPr>
          <w:b/>
          <w:sz w:val="26"/>
          <w:szCs w:val="26"/>
        </w:rPr>
        <w:t xml:space="preserve"> </w:t>
      </w:r>
    </w:p>
    <w:p w:rsidR="006166F6" w:rsidRPr="00163A87" w:rsidRDefault="006166F6" w:rsidP="006166F6">
      <w:pPr>
        <w:jc w:val="both"/>
        <w:rPr>
          <w:sz w:val="26"/>
          <w:szCs w:val="26"/>
          <w:u w:val="single"/>
        </w:rPr>
      </w:pPr>
    </w:p>
    <w:p w:rsidR="00604802" w:rsidRPr="00030EF2" w:rsidRDefault="00BF0563" w:rsidP="00BF0563">
      <w:pPr>
        <w:jc w:val="center"/>
        <w:rPr>
          <w:i/>
          <w:sz w:val="26"/>
          <w:szCs w:val="26"/>
        </w:rPr>
      </w:pPr>
      <w:r w:rsidRPr="00030EF2">
        <w:rPr>
          <w:i/>
          <w:sz w:val="26"/>
          <w:szCs w:val="26"/>
        </w:rPr>
        <w:t xml:space="preserve">Пресечение злоупотребления доминирующим положением на рынках: </w:t>
      </w:r>
    </w:p>
    <w:p w:rsidR="00030EF2" w:rsidRPr="00030EF2" w:rsidRDefault="00BF0563" w:rsidP="00BF0563">
      <w:pPr>
        <w:jc w:val="center"/>
        <w:rPr>
          <w:i/>
          <w:sz w:val="26"/>
          <w:szCs w:val="26"/>
        </w:rPr>
      </w:pPr>
      <w:r w:rsidRPr="00030EF2">
        <w:rPr>
          <w:i/>
          <w:sz w:val="26"/>
          <w:szCs w:val="26"/>
        </w:rPr>
        <w:t>п</w:t>
      </w:r>
      <w:r w:rsidR="00902D50" w:rsidRPr="00030EF2">
        <w:rPr>
          <w:i/>
          <w:sz w:val="26"/>
          <w:szCs w:val="26"/>
        </w:rPr>
        <w:t>рактика применения статьи 10 Закона о защите конкуренции</w:t>
      </w:r>
    </w:p>
    <w:p w:rsidR="006166F6" w:rsidRPr="00030EF2" w:rsidRDefault="00BF0563" w:rsidP="00BF0563">
      <w:pPr>
        <w:jc w:val="center"/>
        <w:rPr>
          <w:i/>
          <w:sz w:val="26"/>
          <w:szCs w:val="26"/>
        </w:rPr>
      </w:pPr>
      <w:r w:rsidRPr="00030EF2">
        <w:rPr>
          <w:i/>
          <w:sz w:val="26"/>
          <w:szCs w:val="26"/>
        </w:rPr>
        <w:t xml:space="preserve">в </w:t>
      </w:r>
      <w:r w:rsidR="005B3845" w:rsidRPr="00030EF2">
        <w:rPr>
          <w:i/>
          <w:sz w:val="26"/>
          <w:szCs w:val="26"/>
        </w:rPr>
        <w:t xml:space="preserve">первом полугодии </w:t>
      </w:r>
      <w:r w:rsidRPr="00030EF2">
        <w:rPr>
          <w:i/>
          <w:sz w:val="26"/>
          <w:szCs w:val="26"/>
        </w:rPr>
        <w:t>201</w:t>
      </w:r>
      <w:r w:rsidR="005B3845" w:rsidRPr="00030EF2">
        <w:rPr>
          <w:i/>
          <w:sz w:val="26"/>
          <w:szCs w:val="26"/>
        </w:rPr>
        <w:t>8</w:t>
      </w:r>
      <w:r w:rsidRPr="00030EF2">
        <w:rPr>
          <w:i/>
          <w:sz w:val="26"/>
          <w:szCs w:val="26"/>
        </w:rPr>
        <w:t xml:space="preserve"> год</w:t>
      </w:r>
      <w:r w:rsidR="005B3845" w:rsidRPr="00030EF2">
        <w:rPr>
          <w:i/>
          <w:sz w:val="26"/>
          <w:szCs w:val="26"/>
        </w:rPr>
        <w:t>а</w:t>
      </w:r>
    </w:p>
    <w:p w:rsidR="00902D50" w:rsidRPr="00163A87" w:rsidRDefault="00902D50" w:rsidP="006166F6">
      <w:pPr>
        <w:widowControl w:val="0"/>
        <w:spacing w:before="120"/>
        <w:jc w:val="center"/>
        <w:rPr>
          <w:sz w:val="26"/>
          <w:szCs w:val="26"/>
          <w:u w:val="single"/>
        </w:rPr>
      </w:pPr>
    </w:p>
    <w:p w:rsidR="005B3845" w:rsidRPr="00163A87" w:rsidRDefault="005B3845" w:rsidP="005B3845">
      <w:pPr>
        <w:spacing w:line="276" w:lineRule="auto"/>
        <w:ind w:firstLine="720"/>
        <w:jc w:val="both"/>
        <w:rPr>
          <w:sz w:val="26"/>
          <w:szCs w:val="26"/>
        </w:rPr>
      </w:pPr>
      <w:r w:rsidRPr="00163A87">
        <w:rPr>
          <w:sz w:val="26"/>
          <w:szCs w:val="26"/>
        </w:rPr>
        <w:t>Деятельность, направленная на недопущение и пресечение злоупотребления доминирующим положением, относиться к исполняемым антимонопольным органом функциям.</w:t>
      </w:r>
    </w:p>
    <w:p w:rsidR="003C28FE" w:rsidRPr="00163A87" w:rsidRDefault="003C28FE" w:rsidP="001D7013">
      <w:pPr>
        <w:spacing w:line="276" w:lineRule="auto"/>
        <w:ind w:firstLine="720"/>
        <w:jc w:val="both"/>
        <w:rPr>
          <w:sz w:val="26"/>
          <w:szCs w:val="26"/>
        </w:rPr>
      </w:pPr>
      <w:r w:rsidRPr="00163A87">
        <w:rPr>
          <w:sz w:val="26"/>
          <w:szCs w:val="26"/>
        </w:rPr>
        <w:t>В статье 10 Федерального закона «О защите конкуренции» установлены запреты, которые обязаны соблюдать хозяйствующие субъекты, положение которых на товарных (финансовых) рынках является доминирующим.</w:t>
      </w:r>
    </w:p>
    <w:p w:rsidR="002B064E" w:rsidRPr="00163A87" w:rsidRDefault="002B064E" w:rsidP="001D7013">
      <w:pPr>
        <w:spacing w:line="276" w:lineRule="auto"/>
        <w:ind w:firstLine="720"/>
        <w:jc w:val="both"/>
        <w:rPr>
          <w:sz w:val="26"/>
          <w:szCs w:val="26"/>
        </w:rPr>
      </w:pPr>
      <w:proofErr w:type="gramStart"/>
      <w:r w:rsidRPr="00163A87">
        <w:rPr>
          <w:sz w:val="26"/>
          <w:szCs w:val="26"/>
        </w:rPr>
        <w:t xml:space="preserve">В рамках </w:t>
      </w:r>
      <w:r w:rsidR="003C28FE" w:rsidRPr="00163A87">
        <w:rPr>
          <w:sz w:val="26"/>
          <w:szCs w:val="26"/>
        </w:rPr>
        <w:t>осуществления</w:t>
      </w:r>
      <w:r w:rsidRPr="00163A87">
        <w:rPr>
          <w:sz w:val="26"/>
          <w:szCs w:val="26"/>
        </w:rPr>
        <w:t xml:space="preserve"> полномочий по выявлению и пресечению </w:t>
      </w:r>
      <w:r w:rsidR="003C28FE" w:rsidRPr="00163A87">
        <w:rPr>
          <w:sz w:val="26"/>
          <w:szCs w:val="26"/>
        </w:rPr>
        <w:t>м</w:t>
      </w:r>
      <w:r w:rsidRPr="00163A87">
        <w:rPr>
          <w:sz w:val="26"/>
          <w:szCs w:val="26"/>
        </w:rPr>
        <w:t xml:space="preserve">онополистической деятельности на товарных и финансовых рынках на территории Тюменской области (без автономных округов) в </w:t>
      </w:r>
      <w:r w:rsidR="005B3845">
        <w:rPr>
          <w:sz w:val="26"/>
          <w:szCs w:val="26"/>
        </w:rPr>
        <w:t xml:space="preserve">первом полугодии </w:t>
      </w:r>
      <w:r w:rsidRPr="00163A87">
        <w:rPr>
          <w:sz w:val="26"/>
          <w:szCs w:val="26"/>
        </w:rPr>
        <w:t>2</w:t>
      </w:r>
      <w:r w:rsidR="00902D50" w:rsidRPr="00163A87">
        <w:rPr>
          <w:sz w:val="26"/>
          <w:szCs w:val="26"/>
        </w:rPr>
        <w:t>01</w:t>
      </w:r>
      <w:r w:rsidR="005B3845">
        <w:rPr>
          <w:sz w:val="26"/>
          <w:szCs w:val="26"/>
        </w:rPr>
        <w:t>8</w:t>
      </w:r>
      <w:r w:rsidR="00902D50" w:rsidRPr="00163A87">
        <w:rPr>
          <w:sz w:val="26"/>
          <w:szCs w:val="26"/>
        </w:rPr>
        <w:t xml:space="preserve"> год</w:t>
      </w:r>
      <w:r w:rsidR="005B3845">
        <w:rPr>
          <w:sz w:val="26"/>
          <w:szCs w:val="26"/>
        </w:rPr>
        <w:t>а</w:t>
      </w:r>
      <w:r w:rsidR="00902D50" w:rsidRPr="00163A87">
        <w:rPr>
          <w:sz w:val="26"/>
          <w:szCs w:val="26"/>
        </w:rPr>
        <w:t xml:space="preserve"> </w:t>
      </w:r>
      <w:r w:rsidR="0068629E" w:rsidRPr="00163A87">
        <w:rPr>
          <w:sz w:val="26"/>
          <w:szCs w:val="26"/>
        </w:rPr>
        <w:t xml:space="preserve">Тюменским УФАС России </w:t>
      </w:r>
      <w:r w:rsidR="00902D50" w:rsidRPr="00163A87">
        <w:rPr>
          <w:sz w:val="26"/>
          <w:szCs w:val="26"/>
        </w:rPr>
        <w:t xml:space="preserve">рассмотрено </w:t>
      </w:r>
      <w:r w:rsidR="0068629E">
        <w:rPr>
          <w:sz w:val="26"/>
          <w:szCs w:val="26"/>
        </w:rPr>
        <w:t>146</w:t>
      </w:r>
      <w:r w:rsidR="00902D50" w:rsidRPr="00163A87">
        <w:rPr>
          <w:b/>
          <w:sz w:val="26"/>
          <w:szCs w:val="26"/>
        </w:rPr>
        <w:t xml:space="preserve"> заявлений</w:t>
      </w:r>
      <w:r w:rsidR="00902D50" w:rsidRPr="00163A87">
        <w:rPr>
          <w:sz w:val="26"/>
          <w:szCs w:val="26"/>
        </w:rPr>
        <w:t xml:space="preserve"> на действия хозяйствующих субъектов, злоупотребляющих</w:t>
      </w:r>
      <w:r w:rsidR="00AC5AEC" w:rsidRPr="00163A87">
        <w:rPr>
          <w:sz w:val="26"/>
          <w:szCs w:val="26"/>
        </w:rPr>
        <w:t>,</w:t>
      </w:r>
      <w:r w:rsidR="00902D50" w:rsidRPr="00163A87">
        <w:rPr>
          <w:sz w:val="26"/>
          <w:szCs w:val="26"/>
        </w:rPr>
        <w:t xml:space="preserve"> </w:t>
      </w:r>
      <w:r w:rsidR="00AC5AEC" w:rsidRPr="00163A87">
        <w:rPr>
          <w:sz w:val="26"/>
          <w:szCs w:val="26"/>
        </w:rPr>
        <w:t xml:space="preserve">по мнению заявителей,  </w:t>
      </w:r>
      <w:r w:rsidR="00902D50" w:rsidRPr="00163A87">
        <w:rPr>
          <w:sz w:val="26"/>
          <w:szCs w:val="26"/>
        </w:rPr>
        <w:t xml:space="preserve">своим положением на товарном </w:t>
      </w:r>
      <w:r w:rsidR="00AC5AEC" w:rsidRPr="00163A87">
        <w:rPr>
          <w:sz w:val="26"/>
          <w:szCs w:val="26"/>
        </w:rPr>
        <w:t xml:space="preserve">или </w:t>
      </w:r>
      <w:r w:rsidR="00902D50" w:rsidRPr="00163A87">
        <w:rPr>
          <w:sz w:val="26"/>
          <w:szCs w:val="26"/>
        </w:rPr>
        <w:t>финансовом рынке.</w:t>
      </w:r>
      <w:r w:rsidR="00AC5AEC" w:rsidRPr="00163A87">
        <w:rPr>
          <w:sz w:val="26"/>
          <w:szCs w:val="26"/>
        </w:rPr>
        <w:t xml:space="preserve"> </w:t>
      </w:r>
      <w:proofErr w:type="gramEnd"/>
    </w:p>
    <w:p w:rsidR="00902D50" w:rsidRPr="00163A87" w:rsidRDefault="0068629E" w:rsidP="001D7013">
      <w:pPr>
        <w:spacing w:line="276" w:lineRule="auto"/>
        <w:ind w:firstLine="720"/>
        <w:jc w:val="both"/>
        <w:rPr>
          <w:sz w:val="26"/>
          <w:szCs w:val="26"/>
        </w:rPr>
      </w:pPr>
      <w:r>
        <w:rPr>
          <w:sz w:val="26"/>
          <w:szCs w:val="26"/>
        </w:rPr>
        <w:t>При этом</w:t>
      </w:r>
      <w:r w:rsidR="00F3719C">
        <w:rPr>
          <w:sz w:val="26"/>
          <w:szCs w:val="26"/>
        </w:rPr>
        <w:t xml:space="preserve"> 122 заявления поступили от</w:t>
      </w:r>
      <w:r w:rsidR="003D5EF3" w:rsidRPr="00163A87">
        <w:rPr>
          <w:sz w:val="26"/>
          <w:szCs w:val="26"/>
        </w:rPr>
        <w:t xml:space="preserve"> физических лиц (потребителей) и </w:t>
      </w:r>
      <w:r w:rsidR="00F3719C">
        <w:rPr>
          <w:sz w:val="26"/>
          <w:szCs w:val="26"/>
        </w:rPr>
        <w:t>25 от</w:t>
      </w:r>
      <w:r w:rsidR="003D5EF3" w:rsidRPr="00163A87">
        <w:rPr>
          <w:sz w:val="26"/>
          <w:szCs w:val="26"/>
        </w:rPr>
        <w:t xml:space="preserve">  юридических лиц. </w:t>
      </w:r>
      <w:r>
        <w:rPr>
          <w:sz w:val="26"/>
          <w:szCs w:val="26"/>
        </w:rPr>
        <w:t>За истекший период  года жалобы физических лиц составили 83% всех рассмотренных управлением заявлений. Что подтверждает ежегодную статистику</w:t>
      </w:r>
      <w:r w:rsidR="002B064E" w:rsidRPr="00163A87">
        <w:rPr>
          <w:sz w:val="26"/>
          <w:szCs w:val="26"/>
        </w:rPr>
        <w:t xml:space="preserve"> поступающих в Управление </w:t>
      </w:r>
      <w:r w:rsidRPr="00163A87">
        <w:rPr>
          <w:sz w:val="26"/>
          <w:szCs w:val="26"/>
        </w:rPr>
        <w:t>заявле</w:t>
      </w:r>
      <w:r>
        <w:rPr>
          <w:sz w:val="26"/>
          <w:szCs w:val="26"/>
        </w:rPr>
        <w:t>ний -</w:t>
      </w:r>
      <w:r w:rsidR="002B064E" w:rsidRPr="00163A87">
        <w:rPr>
          <w:sz w:val="26"/>
          <w:szCs w:val="26"/>
        </w:rPr>
        <w:t xml:space="preserve"> </w:t>
      </w:r>
      <w:r>
        <w:rPr>
          <w:sz w:val="26"/>
          <w:szCs w:val="26"/>
        </w:rPr>
        <w:t xml:space="preserve">порядка </w:t>
      </w:r>
      <w:r w:rsidR="002B064E" w:rsidRPr="00163A87">
        <w:rPr>
          <w:sz w:val="26"/>
          <w:szCs w:val="26"/>
        </w:rPr>
        <w:t>70% заяв</w:t>
      </w:r>
      <w:r>
        <w:rPr>
          <w:sz w:val="26"/>
          <w:szCs w:val="26"/>
        </w:rPr>
        <w:t>лений подают физические лица (граждане)</w:t>
      </w:r>
      <w:r w:rsidR="002B064E" w:rsidRPr="00163A87">
        <w:rPr>
          <w:sz w:val="26"/>
          <w:szCs w:val="26"/>
        </w:rPr>
        <w:t xml:space="preserve"> </w:t>
      </w:r>
    </w:p>
    <w:p w:rsidR="008C7E2C" w:rsidRDefault="00525AAC" w:rsidP="00951CE1">
      <w:pPr>
        <w:spacing w:before="120" w:line="276" w:lineRule="auto"/>
        <w:ind w:firstLine="454"/>
        <w:jc w:val="both"/>
        <w:rPr>
          <w:sz w:val="26"/>
          <w:szCs w:val="26"/>
        </w:rPr>
      </w:pPr>
      <w:r>
        <w:rPr>
          <w:sz w:val="26"/>
          <w:szCs w:val="26"/>
        </w:rPr>
        <w:t xml:space="preserve">Структура поступающих жалоб по сферам деятельности практически не меняется. </w:t>
      </w:r>
      <w:r w:rsidR="003D5EF3" w:rsidRPr="00163A87">
        <w:rPr>
          <w:sz w:val="26"/>
          <w:szCs w:val="26"/>
        </w:rPr>
        <w:t>Традиционно, б</w:t>
      </w:r>
      <w:r w:rsidR="00951CE1" w:rsidRPr="00163A87">
        <w:rPr>
          <w:sz w:val="26"/>
          <w:szCs w:val="26"/>
        </w:rPr>
        <w:t xml:space="preserve">ольшая часть поступивших жалоб обусловлена действиями или бездействием поставщиков коммунальных ресурсов. </w:t>
      </w:r>
      <w:r w:rsidR="003D5EF3" w:rsidRPr="00163A87">
        <w:rPr>
          <w:sz w:val="26"/>
          <w:szCs w:val="26"/>
        </w:rPr>
        <w:t xml:space="preserve">Такие жалобы составили </w:t>
      </w:r>
      <w:r w:rsidR="008C7E2C">
        <w:rPr>
          <w:sz w:val="26"/>
          <w:szCs w:val="26"/>
        </w:rPr>
        <w:t>40%</w:t>
      </w:r>
      <w:r w:rsidR="003D5EF3" w:rsidRPr="00163A87">
        <w:rPr>
          <w:sz w:val="26"/>
          <w:szCs w:val="26"/>
        </w:rPr>
        <w:t xml:space="preserve"> </w:t>
      </w:r>
      <w:r>
        <w:rPr>
          <w:sz w:val="26"/>
          <w:szCs w:val="26"/>
        </w:rPr>
        <w:t xml:space="preserve">всех </w:t>
      </w:r>
      <w:r w:rsidR="003D5EF3" w:rsidRPr="00163A87">
        <w:rPr>
          <w:sz w:val="26"/>
          <w:szCs w:val="26"/>
        </w:rPr>
        <w:t xml:space="preserve">рассмотренных в </w:t>
      </w:r>
      <w:r>
        <w:rPr>
          <w:sz w:val="26"/>
          <w:szCs w:val="26"/>
        </w:rPr>
        <w:t>этом году</w:t>
      </w:r>
      <w:r w:rsidR="003D5EF3" w:rsidRPr="00163A87">
        <w:rPr>
          <w:sz w:val="26"/>
          <w:szCs w:val="26"/>
        </w:rPr>
        <w:t xml:space="preserve"> заявлений</w:t>
      </w:r>
      <w:r w:rsidR="008C7E2C">
        <w:rPr>
          <w:sz w:val="26"/>
          <w:szCs w:val="26"/>
        </w:rPr>
        <w:t>, причём в основном, это жалобы на п</w:t>
      </w:r>
      <w:r w:rsidR="008C7E2C" w:rsidRPr="00163A87">
        <w:rPr>
          <w:sz w:val="26"/>
          <w:szCs w:val="26"/>
        </w:rPr>
        <w:t>оставщиков, действующих в сфере электроснабжения</w:t>
      </w:r>
      <w:r w:rsidR="003D5EF3" w:rsidRPr="00163A87">
        <w:rPr>
          <w:sz w:val="26"/>
          <w:szCs w:val="26"/>
        </w:rPr>
        <w:t>.</w:t>
      </w:r>
      <w:r>
        <w:rPr>
          <w:sz w:val="26"/>
          <w:szCs w:val="26"/>
        </w:rPr>
        <w:t xml:space="preserve"> </w:t>
      </w:r>
    </w:p>
    <w:p w:rsidR="003C439B" w:rsidRPr="00163A87" w:rsidRDefault="008C7E2C" w:rsidP="003C439B">
      <w:pPr>
        <w:spacing w:before="120" w:line="276" w:lineRule="auto"/>
        <w:ind w:firstLine="454"/>
        <w:jc w:val="both"/>
        <w:rPr>
          <w:sz w:val="26"/>
          <w:szCs w:val="26"/>
        </w:rPr>
      </w:pPr>
      <w:r w:rsidRPr="00163A87">
        <w:rPr>
          <w:sz w:val="26"/>
          <w:szCs w:val="26"/>
        </w:rPr>
        <w:t xml:space="preserve">Доля жалоб на субъекты естественных монополий, действующие в сфере электроснабжения, теплоснабжения  и водоснабжения-водоотведения остаётся неизменно высокой. </w:t>
      </w:r>
      <w:r>
        <w:rPr>
          <w:sz w:val="26"/>
          <w:szCs w:val="26"/>
        </w:rPr>
        <w:t xml:space="preserve">Каждое седьмое заявление, рассмотренное управлением в первом полугодии, </w:t>
      </w:r>
      <w:r w:rsidR="00DA5E0A">
        <w:rPr>
          <w:sz w:val="26"/>
          <w:szCs w:val="26"/>
        </w:rPr>
        <w:t>связано с деятельностью</w:t>
      </w:r>
      <w:r w:rsidR="003C439B" w:rsidRPr="00163A87">
        <w:rPr>
          <w:sz w:val="26"/>
          <w:szCs w:val="26"/>
        </w:rPr>
        <w:t xml:space="preserve"> субъект</w:t>
      </w:r>
      <w:r w:rsidR="003D5EF3" w:rsidRPr="00163A87">
        <w:rPr>
          <w:sz w:val="26"/>
          <w:szCs w:val="26"/>
        </w:rPr>
        <w:t>ов</w:t>
      </w:r>
      <w:r w:rsidR="003C439B" w:rsidRPr="00163A87">
        <w:rPr>
          <w:sz w:val="26"/>
          <w:szCs w:val="26"/>
        </w:rPr>
        <w:t xml:space="preserve"> естественных монополий. </w:t>
      </w:r>
    </w:p>
    <w:p w:rsidR="00603F1A" w:rsidRDefault="008C7E2C" w:rsidP="00344CBD">
      <w:pPr>
        <w:spacing w:before="120" w:line="276" w:lineRule="auto"/>
        <w:ind w:firstLine="454"/>
        <w:jc w:val="both"/>
        <w:rPr>
          <w:sz w:val="26"/>
          <w:szCs w:val="26"/>
        </w:rPr>
      </w:pPr>
      <w:r>
        <w:rPr>
          <w:sz w:val="26"/>
          <w:szCs w:val="26"/>
        </w:rPr>
        <w:t>Процедура рассмотрения обращений</w:t>
      </w:r>
      <w:r w:rsidRPr="00163A87">
        <w:rPr>
          <w:sz w:val="26"/>
          <w:szCs w:val="26"/>
        </w:rPr>
        <w:t xml:space="preserve"> </w:t>
      </w:r>
      <w:r>
        <w:rPr>
          <w:sz w:val="26"/>
          <w:szCs w:val="26"/>
        </w:rPr>
        <w:t xml:space="preserve">определена Административным </w:t>
      </w:r>
      <w:r w:rsidR="004D612B" w:rsidRPr="00163A87">
        <w:rPr>
          <w:sz w:val="26"/>
          <w:szCs w:val="26"/>
        </w:rPr>
        <w:t>Регламент</w:t>
      </w:r>
      <w:r>
        <w:rPr>
          <w:sz w:val="26"/>
          <w:szCs w:val="26"/>
        </w:rPr>
        <w:t>ом и требованиями Закона о защите конкуренции. В</w:t>
      </w:r>
      <w:r w:rsidR="004D612B" w:rsidRPr="00163A87">
        <w:rPr>
          <w:sz w:val="26"/>
          <w:szCs w:val="26"/>
        </w:rPr>
        <w:t>се потупившие</w:t>
      </w:r>
      <w:r>
        <w:rPr>
          <w:sz w:val="26"/>
          <w:szCs w:val="26"/>
        </w:rPr>
        <w:t xml:space="preserve"> в управление</w:t>
      </w:r>
      <w:r w:rsidR="004D612B" w:rsidRPr="00163A87">
        <w:rPr>
          <w:sz w:val="26"/>
          <w:szCs w:val="26"/>
        </w:rPr>
        <w:t xml:space="preserve"> заявления</w:t>
      </w:r>
      <w:r>
        <w:rPr>
          <w:sz w:val="26"/>
          <w:szCs w:val="26"/>
        </w:rPr>
        <w:t xml:space="preserve">, в установленном Регламентом и Законом порядке, </w:t>
      </w:r>
      <w:r w:rsidR="004D612B" w:rsidRPr="00163A87">
        <w:rPr>
          <w:sz w:val="26"/>
          <w:szCs w:val="26"/>
        </w:rPr>
        <w:t>анализируются</w:t>
      </w:r>
      <w:r>
        <w:rPr>
          <w:sz w:val="26"/>
          <w:szCs w:val="26"/>
        </w:rPr>
        <w:t xml:space="preserve"> с</w:t>
      </w:r>
      <w:r w:rsidR="004D612B" w:rsidRPr="00163A87">
        <w:rPr>
          <w:sz w:val="26"/>
          <w:szCs w:val="26"/>
        </w:rPr>
        <w:t xml:space="preserve"> позиции соблюдения антимонопольных запретов</w:t>
      </w:r>
      <w:r w:rsidR="00421D51" w:rsidRPr="00163A87">
        <w:rPr>
          <w:sz w:val="26"/>
          <w:szCs w:val="26"/>
        </w:rPr>
        <w:t xml:space="preserve">. </w:t>
      </w:r>
    </w:p>
    <w:p w:rsidR="00421D51" w:rsidRPr="00163A87" w:rsidRDefault="00421D51" w:rsidP="00344CBD">
      <w:pPr>
        <w:spacing w:before="120" w:line="276" w:lineRule="auto"/>
        <w:ind w:firstLine="454"/>
        <w:jc w:val="both"/>
        <w:rPr>
          <w:sz w:val="26"/>
          <w:szCs w:val="26"/>
        </w:rPr>
      </w:pPr>
      <w:r w:rsidRPr="00163A87">
        <w:rPr>
          <w:sz w:val="26"/>
          <w:szCs w:val="26"/>
        </w:rPr>
        <w:t>Если на хозяйствующий субъект</w:t>
      </w:r>
      <w:r w:rsidR="00603F1A">
        <w:rPr>
          <w:sz w:val="26"/>
          <w:szCs w:val="26"/>
        </w:rPr>
        <w:t>, являющимся</w:t>
      </w:r>
      <w:r w:rsidRPr="00163A87">
        <w:rPr>
          <w:sz w:val="26"/>
          <w:szCs w:val="26"/>
        </w:rPr>
        <w:t>, в отношении которого поступила жалоба, распространяются требования, установленные в статьи 10 Закона о защите конкуренции, д</w:t>
      </w:r>
      <w:r w:rsidR="00AF0655" w:rsidRPr="00163A87">
        <w:rPr>
          <w:sz w:val="26"/>
          <w:szCs w:val="26"/>
        </w:rPr>
        <w:t>ействия</w:t>
      </w:r>
      <w:r w:rsidRPr="00163A87">
        <w:rPr>
          <w:sz w:val="26"/>
          <w:szCs w:val="26"/>
        </w:rPr>
        <w:t>м</w:t>
      </w:r>
      <w:r w:rsidR="00AF0655" w:rsidRPr="00163A87">
        <w:rPr>
          <w:sz w:val="26"/>
          <w:szCs w:val="26"/>
        </w:rPr>
        <w:t xml:space="preserve"> </w:t>
      </w:r>
      <w:r w:rsidRPr="00163A87">
        <w:rPr>
          <w:sz w:val="26"/>
          <w:szCs w:val="26"/>
        </w:rPr>
        <w:t xml:space="preserve">(бездействию) </w:t>
      </w:r>
      <w:r w:rsidR="00603F1A" w:rsidRPr="00163A87">
        <w:rPr>
          <w:sz w:val="26"/>
          <w:szCs w:val="26"/>
        </w:rPr>
        <w:t>поставщик</w:t>
      </w:r>
      <w:r w:rsidR="00603F1A">
        <w:rPr>
          <w:sz w:val="26"/>
          <w:szCs w:val="26"/>
        </w:rPr>
        <w:t>а</w:t>
      </w:r>
      <w:r w:rsidR="00603F1A" w:rsidRPr="00163A87">
        <w:rPr>
          <w:sz w:val="26"/>
          <w:szCs w:val="26"/>
        </w:rPr>
        <w:t xml:space="preserve"> </w:t>
      </w:r>
      <w:r w:rsidR="00603F1A">
        <w:rPr>
          <w:sz w:val="26"/>
          <w:szCs w:val="26"/>
        </w:rPr>
        <w:t xml:space="preserve">товарного </w:t>
      </w:r>
      <w:r w:rsidR="007048A8">
        <w:rPr>
          <w:sz w:val="26"/>
          <w:szCs w:val="26"/>
        </w:rPr>
        <w:t>(</w:t>
      </w:r>
      <w:r w:rsidR="00603F1A">
        <w:rPr>
          <w:sz w:val="26"/>
          <w:szCs w:val="26"/>
        </w:rPr>
        <w:t xml:space="preserve">финансового </w:t>
      </w:r>
      <w:r w:rsidR="00603F1A" w:rsidRPr="00163A87">
        <w:rPr>
          <w:sz w:val="26"/>
          <w:szCs w:val="26"/>
        </w:rPr>
        <w:t>рынка</w:t>
      </w:r>
      <w:r w:rsidR="007048A8">
        <w:rPr>
          <w:sz w:val="26"/>
          <w:szCs w:val="26"/>
        </w:rPr>
        <w:t>), занимающему на нем доминирующее положение,</w:t>
      </w:r>
      <w:r w:rsidR="00603F1A" w:rsidRPr="00163A87">
        <w:rPr>
          <w:sz w:val="26"/>
          <w:szCs w:val="26"/>
        </w:rPr>
        <w:t xml:space="preserve"> </w:t>
      </w:r>
      <w:r w:rsidR="00603F1A">
        <w:rPr>
          <w:sz w:val="26"/>
          <w:szCs w:val="26"/>
        </w:rPr>
        <w:lastRenderedPageBreak/>
        <w:t xml:space="preserve">специалистами управления даётся </w:t>
      </w:r>
      <w:r w:rsidRPr="00163A87">
        <w:rPr>
          <w:sz w:val="26"/>
          <w:szCs w:val="26"/>
        </w:rPr>
        <w:t>соответствующ</w:t>
      </w:r>
      <w:r w:rsidR="00603F1A">
        <w:rPr>
          <w:sz w:val="26"/>
          <w:szCs w:val="26"/>
        </w:rPr>
        <w:t>ая</w:t>
      </w:r>
      <w:r w:rsidRPr="00163A87">
        <w:rPr>
          <w:sz w:val="26"/>
          <w:szCs w:val="26"/>
        </w:rPr>
        <w:t xml:space="preserve"> правов</w:t>
      </w:r>
      <w:r w:rsidR="00603F1A">
        <w:rPr>
          <w:sz w:val="26"/>
          <w:szCs w:val="26"/>
        </w:rPr>
        <w:t>ая</w:t>
      </w:r>
      <w:r w:rsidRPr="00163A87">
        <w:rPr>
          <w:sz w:val="26"/>
          <w:szCs w:val="26"/>
        </w:rPr>
        <w:t xml:space="preserve"> оценк</w:t>
      </w:r>
      <w:r w:rsidR="00603F1A">
        <w:rPr>
          <w:sz w:val="26"/>
          <w:szCs w:val="26"/>
        </w:rPr>
        <w:t>а</w:t>
      </w:r>
      <w:r w:rsidRPr="00163A87">
        <w:rPr>
          <w:sz w:val="26"/>
          <w:szCs w:val="26"/>
        </w:rPr>
        <w:t>. Управление устанавливает</w:t>
      </w:r>
      <w:r w:rsidR="007048A8">
        <w:rPr>
          <w:sz w:val="26"/>
          <w:szCs w:val="26"/>
        </w:rPr>
        <w:t xml:space="preserve"> (доказывает)</w:t>
      </w:r>
      <w:r w:rsidRPr="00163A87">
        <w:rPr>
          <w:sz w:val="26"/>
          <w:szCs w:val="26"/>
        </w:rPr>
        <w:t xml:space="preserve"> </w:t>
      </w:r>
      <w:r w:rsidR="007048A8">
        <w:rPr>
          <w:sz w:val="26"/>
          <w:szCs w:val="26"/>
        </w:rPr>
        <w:t xml:space="preserve">факт </w:t>
      </w:r>
      <w:r w:rsidRPr="00163A87">
        <w:rPr>
          <w:sz w:val="26"/>
          <w:szCs w:val="26"/>
        </w:rPr>
        <w:t>доминир</w:t>
      </w:r>
      <w:r w:rsidR="007048A8">
        <w:rPr>
          <w:sz w:val="26"/>
          <w:szCs w:val="26"/>
        </w:rPr>
        <w:t>ования</w:t>
      </w:r>
      <w:r w:rsidRPr="00163A87">
        <w:rPr>
          <w:sz w:val="26"/>
          <w:szCs w:val="26"/>
        </w:rPr>
        <w:t xml:space="preserve"> хозяйствующего субъекта на товарном (финансовом) рынке и определяет норму закона, которая им нарушена.</w:t>
      </w:r>
    </w:p>
    <w:p w:rsidR="007048A8" w:rsidRDefault="007048A8" w:rsidP="007048A8">
      <w:pPr>
        <w:spacing w:before="120" w:line="276" w:lineRule="auto"/>
        <w:ind w:firstLine="454"/>
        <w:jc w:val="both"/>
        <w:rPr>
          <w:sz w:val="26"/>
          <w:szCs w:val="26"/>
        </w:rPr>
      </w:pPr>
      <w:r>
        <w:rPr>
          <w:sz w:val="26"/>
          <w:szCs w:val="26"/>
        </w:rPr>
        <w:t>Необходимо отметить, что более половины</w:t>
      </w:r>
      <w:r w:rsidRPr="00163A87">
        <w:rPr>
          <w:sz w:val="26"/>
          <w:szCs w:val="26"/>
        </w:rPr>
        <w:t xml:space="preserve"> поступивших </w:t>
      </w:r>
      <w:r>
        <w:rPr>
          <w:sz w:val="26"/>
          <w:szCs w:val="26"/>
        </w:rPr>
        <w:t>жалоб</w:t>
      </w:r>
      <w:r w:rsidRPr="00163A87">
        <w:rPr>
          <w:sz w:val="26"/>
          <w:szCs w:val="26"/>
        </w:rPr>
        <w:t xml:space="preserve"> (</w:t>
      </w:r>
      <w:r>
        <w:rPr>
          <w:sz w:val="26"/>
          <w:szCs w:val="26"/>
        </w:rPr>
        <w:t>57</w:t>
      </w:r>
      <w:r w:rsidRPr="00163A87">
        <w:rPr>
          <w:sz w:val="26"/>
          <w:szCs w:val="26"/>
        </w:rPr>
        <w:t xml:space="preserve">%) оставлены управлением без рассмотрения по существу. </w:t>
      </w:r>
      <w:r>
        <w:rPr>
          <w:sz w:val="26"/>
          <w:szCs w:val="26"/>
        </w:rPr>
        <w:t xml:space="preserve">Основная причина, это - </w:t>
      </w:r>
      <w:r w:rsidRPr="00163A87">
        <w:rPr>
          <w:sz w:val="26"/>
          <w:szCs w:val="26"/>
        </w:rPr>
        <w:t xml:space="preserve"> несоответствия подаваемых в антимонопольное управление заявлений, законодательно установленным требованиям. Требования к подаваемому заявлению установлены в статье 44 Федерального закона «О защите конкуренции». </w:t>
      </w:r>
      <w:r>
        <w:rPr>
          <w:sz w:val="26"/>
          <w:szCs w:val="26"/>
        </w:rPr>
        <w:t>Н</w:t>
      </w:r>
      <w:r w:rsidRPr="00163A87">
        <w:rPr>
          <w:sz w:val="26"/>
          <w:szCs w:val="26"/>
        </w:rPr>
        <w:t>еисполнение</w:t>
      </w:r>
      <w:r>
        <w:rPr>
          <w:sz w:val="26"/>
          <w:szCs w:val="26"/>
        </w:rPr>
        <w:t xml:space="preserve"> заявителями требований к подаваемому заявлению и </w:t>
      </w:r>
      <w:r w:rsidRPr="00163A87">
        <w:rPr>
          <w:sz w:val="26"/>
          <w:szCs w:val="26"/>
        </w:rPr>
        <w:t>влечёт отказ антимонопольного органа рассматривать заявление по существу.</w:t>
      </w:r>
    </w:p>
    <w:p w:rsidR="001E3177" w:rsidRDefault="0073018F" w:rsidP="007048A8">
      <w:pPr>
        <w:spacing w:before="120" w:line="276" w:lineRule="auto"/>
        <w:ind w:firstLine="454"/>
        <w:jc w:val="both"/>
        <w:rPr>
          <w:sz w:val="26"/>
          <w:szCs w:val="26"/>
        </w:rPr>
      </w:pPr>
      <w:proofErr w:type="gramStart"/>
      <w:r>
        <w:rPr>
          <w:sz w:val="26"/>
          <w:szCs w:val="26"/>
        </w:rPr>
        <w:t>З</w:t>
      </w:r>
      <w:r w:rsidR="00C03A2A">
        <w:rPr>
          <w:sz w:val="26"/>
          <w:szCs w:val="26"/>
        </w:rPr>
        <w:t>начительно</w:t>
      </w:r>
      <w:r>
        <w:rPr>
          <w:sz w:val="26"/>
          <w:szCs w:val="26"/>
        </w:rPr>
        <w:t>сть количества</w:t>
      </w:r>
      <w:r w:rsidR="00C03A2A">
        <w:rPr>
          <w:sz w:val="26"/>
          <w:szCs w:val="26"/>
        </w:rPr>
        <w:t xml:space="preserve"> </w:t>
      </w:r>
      <w:r>
        <w:rPr>
          <w:sz w:val="26"/>
          <w:szCs w:val="26"/>
        </w:rPr>
        <w:t>жалоб</w:t>
      </w:r>
      <w:r w:rsidR="00C03A2A">
        <w:rPr>
          <w:sz w:val="26"/>
          <w:szCs w:val="26"/>
        </w:rPr>
        <w:t>, поступивших в антимонопольное заявлений в первом полугодии (в основном в мае-июне) обусловлено ростом цен на автомобильное топливо.</w:t>
      </w:r>
      <w:proofErr w:type="gramEnd"/>
      <w:r w:rsidR="001E3177">
        <w:rPr>
          <w:sz w:val="26"/>
          <w:szCs w:val="26"/>
        </w:rPr>
        <w:t xml:space="preserve"> </w:t>
      </w:r>
      <w:proofErr w:type="gramStart"/>
      <w:r>
        <w:rPr>
          <w:sz w:val="26"/>
          <w:szCs w:val="26"/>
        </w:rPr>
        <w:t>Как правило, ж</w:t>
      </w:r>
      <w:r w:rsidR="001E3177">
        <w:rPr>
          <w:sz w:val="26"/>
          <w:szCs w:val="26"/>
        </w:rPr>
        <w:t>алобы на повышение цен на топливо на территории Тюменской области (без АО), направляемые гражданами на имя Президента Российской Федерации в форме электронного обращения перенаправляются в Тюменское УФАС России</w:t>
      </w:r>
      <w:r w:rsidR="001E3177" w:rsidRPr="001E3177">
        <w:rPr>
          <w:sz w:val="26"/>
          <w:szCs w:val="26"/>
        </w:rPr>
        <w:t xml:space="preserve"> </w:t>
      </w:r>
      <w:r w:rsidR="001E3177">
        <w:rPr>
          <w:sz w:val="26"/>
          <w:szCs w:val="26"/>
        </w:rPr>
        <w:t>по подведомственности.</w:t>
      </w:r>
      <w:proofErr w:type="gramEnd"/>
    </w:p>
    <w:p w:rsidR="007378F2" w:rsidRDefault="007378F2" w:rsidP="007378F2">
      <w:pPr>
        <w:spacing w:before="120" w:line="276" w:lineRule="auto"/>
        <w:ind w:firstLine="454"/>
        <w:jc w:val="both"/>
        <w:rPr>
          <w:sz w:val="26"/>
          <w:szCs w:val="26"/>
        </w:rPr>
      </w:pPr>
      <w:r>
        <w:rPr>
          <w:sz w:val="26"/>
          <w:szCs w:val="26"/>
        </w:rPr>
        <w:t xml:space="preserve">При подаче заявления в силу Закона и Регламенте является обязательным,  наличие подписи заявителя,  его адреса проживания, сведений о лице, в отношении которого подаётся заявление. Необходимо также прикладывать  документы  или сведения в доказательство  нарушения антимонопольного законодательства.   </w:t>
      </w:r>
    </w:p>
    <w:p w:rsidR="003C0263" w:rsidRDefault="007378F2" w:rsidP="007048A8">
      <w:pPr>
        <w:spacing w:before="120" w:line="276" w:lineRule="auto"/>
        <w:ind w:firstLine="454"/>
        <w:jc w:val="both"/>
        <w:rPr>
          <w:sz w:val="26"/>
          <w:szCs w:val="26"/>
        </w:rPr>
      </w:pPr>
      <w:r>
        <w:rPr>
          <w:sz w:val="26"/>
          <w:szCs w:val="26"/>
        </w:rPr>
        <w:t>Поэтому а</w:t>
      </w:r>
      <w:r w:rsidR="001E3177">
        <w:rPr>
          <w:sz w:val="26"/>
          <w:szCs w:val="26"/>
        </w:rPr>
        <w:t xml:space="preserve">бсолютное большинство </w:t>
      </w:r>
      <w:r w:rsidR="00431872">
        <w:rPr>
          <w:sz w:val="26"/>
          <w:szCs w:val="26"/>
        </w:rPr>
        <w:t>таких электронных</w:t>
      </w:r>
      <w:r w:rsidR="001E3177">
        <w:rPr>
          <w:sz w:val="26"/>
          <w:szCs w:val="26"/>
        </w:rPr>
        <w:t xml:space="preserve"> </w:t>
      </w:r>
      <w:r w:rsidR="00431872">
        <w:rPr>
          <w:sz w:val="26"/>
          <w:szCs w:val="26"/>
        </w:rPr>
        <w:t>обращений</w:t>
      </w:r>
      <w:r w:rsidR="001E3177">
        <w:rPr>
          <w:sz w:val="26"/>
          <w:szCs w:val="26"/>
        </w:rPr>
        <w:t xml:space="preserve"> не подлежит рассмотрению по существу, в связи с тем, что они не соответствуют установленным к заявлениям требования</w:t>
      </w:r>
      <w:r w:rsidR="0073018F">
        <w:rPr>
          <w:sz w:val="26"/>
          <w:szCs w:val="26"/>
        </w:rPr>
        <w:t xml:space="preserve">м. </w:t>
      </w:r>
      <w:r w:rsidR="001E3177">
        <w:rPr>
          <w:sz w:val="26"/>
          <w:szCs w:val="26"/>
        </w:rPr>
        <w:t xml:space="preserve"> Но учитывая высокую социальную значимость данного рынка,  каждому заявителю, </w:t>
      </w:r>
      <w:r w:rsidR="00431872">
        <w:rPr>
          <w:sz w:val="26"/>
          <w:szCs w:val="26"/>
        </w:rPr>
        <w:t>были направлены</w:t>
      </w:r>
      <w:r w:rsidR="001E3177">
        <w:rPr>
          <w:sz w:val="26"/>
          <w:szCs w:val="26"/>
        </w:rPr>
        <w:t xml:space="preserve"> разъяснения относительно причин роста цен</w:t>
      </w:r>
      <w:r w:rsidR="003C0263">
        <w:rPr>
          <w:sz w:val="26"/>
          <w:szCs w:val="26"/>
        </w:rPr>
        <w:t xml:space="preserve"> и отсутствия в действиях </w:t>
      </w:r>
      <w:proofErr w:type="gramStart"/>
      <w:r w:rsidR="003C0263">
        <w:rPr>
          <w:sz w:val="26"/>
          <w:szCs w:val="26"/>
        </w:rPr>
        <w:t>операторов розничного рынка нефтепродуктов</w:t>
      </w:r>
      <w:r w:rsidR="0073018F" w:rsidRPr="0073018F">
        <w:rPr>
          <w:sz w:val="26"/>
          <w:szCs w:val="26"/>
        </w:rPr>
        <w:t xml:space="preserve"> </w:t>
      </w:r>
      <w:r w:rsidR="0073018F">
        <w:rPr>
          <w:sz w:val="26"/>
          <w:szCs w:val="26"/>
        </w:rPr>
        <w:t>признаков нарушения антимонопольного законодательства</w:t>
      </w:r>
      <w:proofErr w:type="gramEnd"/>
      <w:r w:rsidR="003C0263">
        <w:rPr>
          <w:sz w:val="26"/>
          <w:szCs w:val="26"/>
        </w:rPr>
        <w:t>.</w:t>
      </w:r>
    </w:p>
    <w:p w:rsidR="007048A8" w:rsidRPr="00163A87" w:rsidRDefault="007048A8" w:rsidP="007048A8">
      <w:pPr>
        <w:spacing w:before="120" w:line="276" w:lineRule="auto"/>
        <w:ind w:firstLine="454"/>
        <w:jc w:val="both"/>
        <w:rPr>
          <w:sz w:val="26"/>
          <w:szCs w:val="26"/>
        </w:rPr>
      </w:pPr>
      <w:r>
        <w:rPr>
          <w:sz w:val="26"/>
          <w:szCs w:val="26"/>
        </w:rPr>
        <w:t xml:space="preserve">Часть </w:t>
      </w:r>
      <w:r w:rsidR="003C0263">
        <w:rPr>
          <w:sz w:val="26"/>
          <w:szCs w:val="26"/>
        </w:rPr>
        <w:t xml:space="preserve">поступающих в управление жалоб </w:t>
      </w:r>
      <w:r w:rsidR="003C0263" w:rsidRPr="00163A87">
        <w:rPr>
          <w:sz w:val="26"/>
          <w:szCs w:val="26"/>
        </w:rPr>
        <w:t>граждан</w:t>
      </w:r>
      <w:r w:rsidR="003C0263">
        <w:rPr>
          <w:sz w:val="26"/>
          <w:szCs w:val="26"/>
        </w:rPr>
        <w:t xml:space="preserve"> не относится к компетенции антимонопольного управления (составили в первом полугодии 15% всех рассмотренных обращений), поэтому </w:t>
      </w:r>
      <w:r w:rsidRPr="00163A87">
        <w:rPr>
          <w:sz w:val="26"/>
          <w:szCs w:val="26"/>
        </w:rPr>
        <w:t xml:space="preserve">на основании положений Федерального закона «О рассмотрении обращений граждан» </w:t>
      </w:r>
      <w:r w:rsidR="003C0263">
        <w:rPr>
          <w:sz w:val="26"/>
          <w:szCs w:val="26"/>
        </w:rPr>
        <w:t>такие жалобы</w:t>
      </w:r>
      <w:r>
        <w:rPr>
          <w:sz w:val="26"/>
          <w:szCs w:val="26"/>
        </w:rPr>
        <w:t xml:space="preserve"> </w:t>
      </w:r>
      <w:r w:rsidRPr="00163A87">
        <w:rPr>
          <w:sz w:val="26"/>
          <w:szCs w:val="26"/>
        </w:rPr>
        <w:t xml:space="preserve">перенаправлены на рассмотрение в органы власти, имеющие соответствующие полномочия на рассмотрение указанных в заявлениях вопросов. </w:t>
      </w:r>
      <w:r w:rsidR="003C0263">
        <w:rPr>
          <w:sz w:val="26"/>
          <w:szCs w:val="26"/>
        </w:rPr>
        <w:t>Ж</w:t>
      </w:r>
      <w:r>
        <w:rPr>
          <w:sz w:val="26"/>
          <w:szCs w:val="26"/>
        </w:rPr>
        <w:t xml:space="preserve">алобы граждан </w:t>
      </w:r>
      <w:r w:rsidR="003C0263">
        <w:rPr>
          <w:sz w:val="26"/>
          <w:szCs w:val="26"/>
        </w:rPr>
        <w:t xml:space="preserve">в основном </w:t>
      </w:r>
      <w:r>
        <w:rPr>
          <w:sz w:val="26"/>
          <w:szCs w:val="26"/>
        </w:rPr>
        <w:t xml:space="preserve">связаны с нарушением жилищного законодательства и нарушением прав потребителей, </w:t>
      </w:r>
      <w:r w:rsidR="003C0263">
        <w:rPr>
          <w:sz w:val="26"/>
          <w:szCs w:val="26"/>
        </w:rPr>
        <w:t xml:space="preserve">поэтому </w:t>
      </w:r>
      <w:r w:rsidRPr="00163A87">
        <w:rPr>
          <w:sz w:val="26"/>
          <w:szCs w:val="26"/>
        </w:rPr>
        <w:t xml:space="preserve">заявления </w:t>
      </w:r>
      <w:r>
        <w:rPr>
          <w:sz w:val="26"/>
          <w:szCs w:val="26"/>
        </w:rPr>
        <w:t>п</w:t>
      </w:r>
      <w:r w:rsidRPr="00163A87">
        <w:rPr>
          <w:sz w:val="26"/>
          <w:szCs w:val="26"/>
        </w:rPr>
        <w:t>реимущественно перенаправл</w:t>
      </w:r>
      <w:r>
        <w:rPr>
          <w:sz w:val="26"/>
          <w:szCs w:val="26"/>
        </w:rPr>
        <w:t>яются</w:t>
      </w:r>
      <w:r w:rsidRPr="00163A87">
        <w:rPr>
          <w:sz w:val="26"/>
          <w:szCs w:val="26"/>
        </w:rPr>
        <w:t xml:space="preserve"> </w:t>
      </w:r>
      <w:r>
        <w:rPr>
          <w:sz w:val="26"/>
          <w:szCs w:val="26"/>
        </w:rPr>
        <w:t xml:space="preserve">Управлением </w:t>
      </w:r>
      <w:r w:rsidRPr="00163A87">
        <w:rPr>
          <w:sz w:val="26"/>
          <w:szCs w:val="26"/>
        </w:rPr>
        <w:t xml:space="preserve">в Государственную жилищную инспекцию Тюменской области и Управление </w:t>
      </w:r>
      <w:proofErr w:type="spellStart"/>
      <w:r w:rsidRPr="00163A87">
        <w:rPr>
          <w:sz w:val="26"/>
          <w:szCs w:val="26"/>
        </w:rPr>
        <w:t>Роспотребнадзора</w:t>
      </w:r>
      <w:proofErr w:type="spellEnd"/>
      <w:r w:rsidRPr="00163A87">
        <w:rPr>
          <w:sz w:val="26"/>
          <w:szCs w:val="26"/>
        </w:rPr>
        <w:t xml:space="preserve"> по Тюменской области.</w:t>
      </w:r>
    </w:p>
    <w:p w:rsidR="00701C07" w:rsidRDefault="00701C07" w:rsidP="00344CBD">
      <w:pPr>
        <w:spacing w:before="120" w:line="276" w:lineRule="auto"/>
        <w:ind w:firstLine="454"/>
        <w:jc w:val="both"/>
        <w:rPr>
          <w:sz w:val="26"/>
          <w:szCs w:val="26"/>
        </w:rPr>
      </w:pPr>
      <w:r>
        <w:rPr>
          <w:sz w:val="26"/>
          <w:szCs w:val="26"/>
        </w:rPr>
        <w:t xml:space="preserve">По результатам </w:t>
      </w:r>
      <w:r w:rsidRPr="00163A87">
        <w:rPr>
          <w:sz w:val="26"/>
          <w:szCs w:val="26"/>
        </w:rPr>
        <w:t xml:space="preserve">рассмотрения </w:t>
      </w:r>
      <w:r>
        <w:rPr>
          <w:sz w:val="26"/>
          <w:szCs w:val="26"/>
        </w:rPr>
        <w:t>трет</w:t>
      </w:r>
      <w:r w:rsidR="00C03A2A">
        <w:rPr>
          <w:sz w:val="26"/>
          <w:szCs w:val="26"/>
        </w:rPr>
        <w:t>ьей части</w:t>
      </w:r>
      <w:r>
        <w:rPr>
          <w:sz w:val="26"/>
          <w:szCs w:val="26"/>
        </w:rPr>
        <w:t xml:space="preserve"> всех поступивших заявлений.</w:t>
      </w:r>
      <w:r w:rsidRPr="00701C07">
        <w:rPr>
          <w:sz w:val="26"/>
          <w:szCs w:val="26"/>
        </w:rPr>
        <w:t xml:space="preserve"> </w:t>
      </w:r>
      <w:r>
        <w:rPr>
          <w:sz w:val="26"/>
          <w:szCs w:val="26"/>
        </w:rPr>
        <w:t>Управлением было принято р</w:t>
      </w:r>
      <w:r w:rsidRPr="00163A87">
        <w:rPr>
          <w:sz w:val="26"/>
          <w:szCs w:val="26"/>
        </w:rPr>
        <w:t>ешение об отказе в возбуждения дела о нарушении антимонопольного законодательства</w:t>
      </w:r>
      <w:r>
        <w:rPr>
          <w:sz w:val="26"/>
          <w:szCs w:val="26"/>
        </w:rPr>
        <w:t xml:space="preserve">. Решения об отказе в возбуждении дела принимаются в основном  в связи с тем, что </w:t>
      </w:r>
      <w:r w:rsidRPr="00163A87">
        <w:rPr>
          <w:sz w:val="26"/>
          <w:szCs w:val="26"/>
        </w:rPr>
        <w:t>в действиях поставщиков товарных рынков, в отношении которых было подано заявление, признаки нарушения антимонопольных запретов не обнаружены.</w:t>
      </w:r>
    </w:p>
    <w:p w:rsidR="003B7C84" w:rsidRDefault="007048A8" w:rsidP="00163A87">
      <w:pPr>
        <w:spacing w:before="120" w:line="276" w:lineRule="auto"/>
        <w:ind w:firstLine="454"/>
        <w:jc w:val="both"/>
        <w:rPr>
          <w:sz w:val="26"/>
          <w:szCs w:val="26"/>
        </w:rPr>
      </w:pPr>
      <w:r>
        <w:rPr>
          <w:sz w:val="26"/>
          <w:szCs w:val="26"/>
        </w:rPr>
        <w:t xml:space="preserve">Существует практика, когда заявители не согласны с полученным отказом в возбуждении дела о нарушении антимонопольного законодательства и обжалуют его в суде. За первое полугодие, один заявитель подал в суд шесть жалоб на </w:t>
      </w:r>
      <w:r w:rsidR="00D95048">
        <w:rPr>
          <w:sz w:val="26"/>
          <w:szCs w:val="26"/>
        </w:rPr>
        <w:t xml:space="preserve">принятые Управлением </w:t>
      </w:r>
      <w:r>
        <w:rPr>
          <w:sz w:val="26"/>
          <w:szCs w:val="26"/>
        </w:rPr>
        <w:t>решения об отказе в возбуждения дела</w:t>
      </w:r>
      <w:r w:rsidR="00D95048">
        <w:rPr>
          <w:sz w:val="26"/>
          <w:szCs w:val="26"/>
        </w:rPr>
        <w:t xml:space="preserve"> о нарушении статьи 10 Закона о </w:t>
      </w:r>
      <w:proofErr w:type="gramStart"/>
      <w:r w:rsidR="00D95048">
        <w:rPr>
          <w:sz w:val="26"/>
          <w:szCs w:val="26"/>
        </w:rPr>
        <w:t>защите</w:t>
      </w:r>
      <w:proofErr w:type="gramEnd"/>
      <w:r w:rsidR="00D95048">
        <w:rPr>
          <w:sz w:val="26"/>
          <w:szCs w:val="26"/>
        </w:rPr>
        <w:t xml:space="preserve"> о конкуренции</w:t>
      </w:r>
      <w:r w:rsidR="003B7C84">
        <w:rPr>
          <w:sz w:val="26"/>
          <w:szCs w:val="26"/>
        </w:rPr>
        <w:t>.</w:t>
      </w:r>
      <w:r>
        <w:rPr>
          <w:sz w:val="26"/>
          <w:szCs w:val="26"/>
        </w:rPr>
        <w:t xml:space="preserve"> </w:t>
      </w:r>
      <w:r w:rsidR="003B7C84">
        <w:rPr>
          <w:sz w:val="26"/>
          <w:szCs w:val="26"/>
        </w:rPr>
        <w:t>По всем отказам</w:t>
      </w:r>
      <w:r w:rsidR="00D95048">
        <w:rPr>
          <w:sz w:val="26"/>
          <w:szCs w:val="26"/>
        </w:rPr>
        <w:t xml:space="preserve"> </w:t>
      </w:r>
      <w:r w:rsidR="003B7C84">
        <w:rPr>
          <w:sz w:val="26"/>
          <w:szCs w:val="26"/>
        </w:rPr>
        <w:t xml:space="preserve">в возбуждении дела, </w:t>
      </w:r>
      <w:r w:rsidR="00D95048">
        <w:rPr>
          <w:sz w:val="26"/>
          <w:szCs w:val="26"/>
        </w:rPr>
        <w:t>суд подтвердил правильность принятых управлением</w:t>
      </w:r>
      <w:r w:rsidR="00D95048" w:rsidRPr="00D95048">
        <w:rPr>
          <w:sz w:val="26"/>
          <w:szCs w:val="26"/>
        </w:rPr>
        <w:t xml:space="preserve"> </w:t>
      </w:r>
      <w:r w:rsidR="003B7C84">
        <w:rPr>
          <w:sz w:val="26"/>
          <w:szCs w:val="26"/>
        </w:rPr>
        <w:t>решений.</w:t>
      </w:r>
    </w:p>
    <w:p w:rsidR="00157CCD" w:rsidRPr="00163A87" w:rsidRDefault="003B7C84" w:rsidP="00163A87">
      <w:pPr>
        <w:spacing w:before="120" w:line="276" w:lineRule="auto"/>
        <w:ind w:firstLine="454"/>
        <w:jc w:val="both"/>
        <w:rPr>
          <w:sz w:val="26"/>
          <w:szCs w:val="26"/>
        </w:rPr>
      </w:pPr>
      <w:r>
        <w:rPr>
          <w:sz w:val="26"/>
          <w:szCs w:val="26"/>
        </w:rPr>
        <w:t xml:space="preserve">В </w:t>
      </w:r>
      <w:proofErr w:type="gramStart"/>
      <w:r w:rsidR="00D75A1A">
        <w:rPr>
          <w:sz w:val="26"/>
          <w:szCs w:val="26"/>
        </w:rPr>
        <w:t>первом</w:t>
      </w:r>
      <w:proofErr w:type="gramEnd"/>
      <w:r w:rsidR="00D75A1A">
        <w:rPr>
          <w:sz w:val="26"/>
          <w:szCs w:val="26"/>
        </w:rPr>
        <w:t xml:space="preserve"> полугодии </w:t>
      </w:r>
      <w:r>
        <w:rPr>
          <w:sz w:val="26"/>
          <w:szCs w:val="26"/>
        </w:rPr>
        <w:t>было</w:t>
      </w:r>
      <w:r w:rsidR="00A30FE1">
        <w:rPr>
          <w:sz w:val="26"/>
          <w:szCs w:val="26"/>
        </w:rPr>
        <w:t xml:space="preserve"> </w:t>
      </w:r>
      <w:r w:rsidR="00596282" w:rsidRPr="00596282">
        <w:rPr>
          <w:i/>
          <w:sz w:val="26"/>
          <w:szCs w:val="26"/>
        </w:rPr>
        <w:t xml:space="preserve">исполнено </w:t>
      </w:r>
      <w:r>
        <w:rPr>
          <w:i/>
          <w:sz w:val="26"/>
          <w:szCs w:val="26"/>
        </w:rPr>
        <w:t xml:space="preserve">одно </w:t>
      </w:r>
      <w:r w:rsidR="00596282" w:rsidRPr="00596282">
        <w:rPr>
          <w:i/>
          <w:sz w:val="26"/>
          <w:szCs w:val="26"/>
        </w:rPr>
        <w:t>предупреждение</w:t>
      </w:r>
      <w:r w:rsidR="00596282" w:rsidRPr="00596282">
        <w:rPr>
          <w:sz w:val="26"/>
          <w:szCs w:val="26"/>
        </w:rPr>
        <w:t>, выданное управлением</w:t>
      </w:r>
      <w:r w:rsidR="00D75A1A">
        <w:rPr>
          <w:sz w:val="26"/>
          <w:szCs w:val="26"/>
        </w:rPr>
        <w:t xml:space="preserve"> </w:t>
      </w:r>
      <w:r w:rsidR="00A30FE1" w:rsidRPr="00596282">
        <w:rPr>
          <w:sz w:val="26"/>
          <w:szCs w:val="26"/>
        </w:rPr>
        <w:t>в</w:t>
      </w:r>
      <w:r w:rsidR="00157CCD" w:rsidRPr="00596282">
        <w:rPr>
          <w:sz w:val="26"/>
          <w:szCs w:val="26"/>
        </w:rPr>
        <w:t xml:space="preserve"> рамках реализации полномочий направленных на н</w:t>
      </w:r>
      <w:r w:rsidR="00157CCD" w:rsidRPr="00163A87">
        <w:rPr>
          <w:sz w:val="26"/>
          <w:szCs w:val="26"/>
        </w:rPr>
        <w:t>едопущение нарушения антимонопольного законодательства</w:t>
      </w:r>
      <w:r w:rsidR="00596282">
        <w:rPr>
          <w:sz w:val="26"/>
          <w:szCs w:val="26"/>
        </w:rPr>
        <w:t>.</w:t>
      </w:r>
    </w:p>
    <w:p w:rsidR="00CA3798" w:rsidRPr="00163A87" w:rsidRDefault="00596282" w:rsidP="00157CCD">
      <w:pPr>
        <w:autoSpaceDE w:val="0"/>
        <w:autoSpaceDN w:val="0"/>
        <w:adjustRightInd w:val="0"/>
        <w:spacing w:line="276" w:lineRule="auto"/>
        <w:ind w:firstLine="567"/>
        <w:jc w:val="both"/>
        <w:rPr>
          <w:sz w:val="26"/>
          <w:szCs w:val="26"/>
        </w:rPr>
      </w:pPr>
      <w:r>
        <w:rPr>
          <w:sz w:val="26"/>
          <w:szCs w:val="26"/>
        </w:rPr>
        <w:t>П</w:t>
      </w:r>
      <w:r w:rsidR="006F6CA2" w:rsidRPr="00163A87">
        <w:rPr>
          <w:sz w:val="26"/>
          <w:szCs w:val="26"/>
        </w:rPr>
        <w:t xml:space="preserve">редупреждение было выдано ООО «Агропромснаб </w:t>
      </w:r>
      <w:proofErr w:type="gramStart"/>
      <w:r w:rsidR="006F6CA2" w:rsidRPr="00163A87">
        <w:rPr>
          <w:sz w:val="26"/>
          <w:szCs w:val="26"/>
        </w:rPr>
        <w:t>Тобольский</w:t>
      </w:r>
      <w:proofErr w:type="gramEnd"/>
      <w:r w:rsidR="006F6CA2" w:rsidRPr="00163A87">
        <w:rPr>
          <w:sz w:val="26"/>
          <w:szCs w:val="26"/>
        </w:rPr>
        <w:t>», владеющему участком железнодорожного пути необщего пользования</w:t>
      </w:r>
      <w:r w:rsidR="00CA3798" w:rsidRPr="00163A87">
        <w:rPr>
          <w:sz w:val="26"/>
          <w:szCs w:val="26"/>
        </w:rPr>
        <w:t>, примыкающего к  железнодорожным путям  «РЖД». Основание</w:t>
      </w:r>
      <w:r w:rsidR="00DA5E0A">
        <w:rPr>
          <w:sz w:val="26"/>
          <w:szCs w:val="26"/>
        </w:rPr>
        <w:t>м</w:t>
      </w:r>
      <w:r w:rsidR="00CA3798" w:rsidRPr="00163A87">
        <w:rPr>
          <w:sz w:val="26"/>
          <w:szCs w:val="26"/>
        </w:rPr>
        <w:t xml:space="preserve"> выдачи предупреждения явился факт навязывания субъектом естественной монополии невыгодных условий договора, заключаемого с организацией-клиентом. При заключении договора владелец участка железнодорожного необоснованно переложил на клиента свои обязательства по его содержанию, что ущемило интересы заявителя, использующ</w:t>
      </w:r>
      <w:r w:rsidR="0016389B" w:rsidRPr="00163A87">
        <w:rPr>
          <w:sz w:val="26"/>
          <w:szCs w:val="26"/>
        </w:rPr>
        <w:t>его</w:t>
      </w:r>
      <w:r w:rsidR="00CA3798" w:rsidRPr="00163A87">
        <w:rPr>
          <w:sz w:val="26"/>
          <w:szCs w:val="26"/>
        </w:rPr>
        <w:t xml:space="preserve"> данный путь для доставки грузов и осуществления хозяйственной деятельности. </w:t>
      </w:r>
    </w:p>
    <w:p w:rsidR="00951E18" w:rsidRDefault="00596282" w:rsidP="007567A9">
      <w:pPr>
        <w:autoSpaceDE w:val="0"/>
        <w:autoSpaceDN w:val="0"/>
        <w:adjustRightInd w:val="0"/>
        <w:spacing w:line="276" w:lineRule="auto"/>
        <w:ind w:firstLine="567"/>
        <w:jc w:val="both"/>
        <w:rPr>
          <w:sz w:val="26"/>
          <w:szCs w:val="26"/>
        </w:rPr>
      </w:pPr>
      <w:r>
        <w:rPr>
          <w:sz w:val="26"/>
          <w:szCs w:val="26"/>
        </w:rPr>
        <w:t xml:space="preserve">Практика показывает, что все </w:t>
      </w:r>
      <w:r w:rsidR="00BB47F9" w:rsidRPr="00163A87">
        <w:rPr>
          <w:sz w:val="26"/>
          <w:szCs w:val="26"/>
        </w:rPr>
        <w:t>выда</w:t>
      </w:r>
      <w:r>
        <w:rPr>
          <w:sz w:val="26"/>
          <w:szCs w:val="26"/>
        </w:rPr>
        <w:t>ваемые</w:t>
      </w:r>
      <w:r w:rsidR="00BB47F9" w:rsidRPr="00163A87">
        <w:rPr>
          <w:sz w:val="26"/>
          <w:szCs w:val="26"/>
        </w:rPr>
        <w:t xml:space="preserve"> управлением </w:t>
      </w:r>
      <w:r w:rsidR="007567A9" w:rsidRPr="00163A87">
        <w:rPr>
          <w:sz w:val="26"/>
          <w:szCs w:val="26"/>
        </w:rPr>
        <w:t>предупреждения о прекращении действий, содержащих признаки нарушения антимонопольного законодательства</w:t>
      </w:r>
      <w:r w:rsidR="00BB47F9" w:rsidRPr="00163A87">
        <w:rPr>
          <w:sz w:val="26"/>
          <w:szCs w:val="26"/>
        </w:rPr>
        <w:t>,</w:t>
      </w:r>
      <w:r w:rsidR="007567A9" w:rsidRPr="00163A87">
        <w:rPr>
          <w:sz w:val="26"/>
          <w:szCs w:val="26"/>
        </w:rPr>
        <w:t xml:space="preserve">  </w:t>
      </w:r>
      <w:r w:rsidR="00BB47F9" w:rsidRPr="00825C77">
        <w:rPr>
          <w:sz w:val="26"/>
          <w:szCs w:val="26"/>
        </w:rPr>
        <w:t>исполн</w:t>
      </w:r>
      <w:r>
        <w:rPr>
          <w:sz w:val="26"/>
          <w:szCs w:val="26"/>
        </w:rPr>
        <w:t>ятся</w:t>
      </w:r>
      <w:r w:rsidR="002E0418" w:rsidRPr="00825C77">
        <w:rPr>
          <w:sz w:val="26"/>
          <w:szCs w:val="26"/>
        </w:rPr>
        <w:t xml:space="preserve"> в установленный срок</w:t>
      </w:r>
      <w:r w:rsidR="00951E18">
        <w:rPr>
          <w:sz w:val="26"/>
          <w:szCs w:val="26"/>
        </w:rPr>
        <w:t>, таким образом, без возбуждения дела устраняются нарушения антимонопольного законодательства.</w:t>
      </w:r>
    </w:p>
    <w:p w:rsidR="0035182B" w:rsidRDefault="00951E18" w:rsidP="00542641">
      <w:pPr>
        <w:spacing w:before="120" w:line="276" w:lineRule="auto"/>
        <w:ind w:firstLine="454"/>
        <w:jc w:val="both"/>
        <w:rPr>
          <w:sz w:val="26"/>
          <w:szCs w:val="26"/>
        </w:rPr>
      </w:pPr>
      <w:r>
        <w:rPr>
          <w:sz w:val="26"/>
          <w:szCs w:val="26"/>
        </w:rPr>
        <w:t>В 2018 году у</w:t>
      </w:r>
      <w:r w:rsidR="00542641" w:rsidRPr="00163A87">
        <w:rPr>
          <w:sz w:val="26"/>
          <w:szCs w:val="26"/>
        </w:rPr>
        <w:t xml:space="preserve">правлением </w:t>
      </w:r>
      <w:r w:rsidR="0035182B" w:rsidRPr="002E3705">
        <w:rPr>
          <w:sz w:val="26"/>
          <w:szCs w:val="26"/>
        </w:rPr>
        <w:t xml:space="preserve">принято </w:t>
      </w:r>
      <w:r w:rsidR="002E3705" w:rsidRPr="00C03A2A">
        <w:rPr>
          <w:sz w:val="26"/>
          <w:szCs w:val="26"/>
        </w:rPr>
        <w:t>одно</w:t>
      </w:r>
      <w:r w:rsidR="00542641" w:rsidRPr="00C03A2A">
        <w:rPr>
          <w:sz w:val="26"/>
          <w:szCs w:val="26"/>
        </w:rPr>
        <w:t xml:space="preserve"> решени</w:t>
      </w:r>
      <w:r w:rsidR="002E3705" w:rsidRPr="00C03A2A">
        <w:rPr>
          <w:sz w:val="26"/>
          <w:szCs w:val="26"/>
        </w:rPr>
        <w:t>е</w:t>
      </w:r>
      <w:r w:rsidR="00542641" w:rsidRPr="00163A87">
        <w:rPr>
          <w:sz w:val="26"/>
          <w:szCs w:val="26"/>
        </w:rPr>
        <w:t xml:space="preserve"> о нарушения антимонопольных запретов</w:t>
      </w:r>
      <w:r w:rsidR="002E3705">
        <w:rPr>
          <w:sz w:val="26"/>
          <w:szCs w:val="26"/>
        </w:rPr>
        <w:t xml:space="preserve"> на </w:t>
      </w:r>
      <w:r w:rsidR="00DD05A1">
        <w:rPr>
          <w:sz w:val="26"/>
          <w:szCs w:val="26"/>
        </w:rPr>
        <w:t>злоупотребление доминирующим положением на рынке</w:t>
      </w:r>
      <w:r>
        <w:rPr>
          <w:sz w:val="26"/>
          <w:szCs w:val="26"/>
        </w:rPr>
        <w:t xml:space="preserve">. </w:t>
      </w:r>
      <w:r w:rsidR="00DD05A1">
        <w:rPr>
          <w:sz w:val="26"/>
          <w:szCs w:val="26"/>
        </w:rPr>
        <w:t>Собственник железнодорожного пути необщего пользования ООО «ЖБИ-4», злоупотребляя своим положением на товарном рынке, ущемил интересы потребителя</w:t>
      </w:r>
      <w:r>
        <w:rPr>
          <w:sz w:val="26"/>
          <w:szCs w:val="26"/>
        </w:rPr>
        <w:t>.</w:t>
      </w:r>
      <w:r w:rsidR="00DD05A1">
        <w:rPr>
          <w:sz w:val="26"/>
          <w:szCs w:val="26"/>
        </w:rPr>
        <w:t xml:space="preserve"> Владелец участка железнодорожного пути, устанавливал и взимал плату за оказываемые услуги самостоятельно, тогда как данная деятельность подлежит государственному </w:t>
      </w:r>
      <w:r w:rsidR="00455059">
        <w:rPr>
          <w:sz w:val="26"/>
          <w:szCs w:val="26"/>
        </w:rPr>
        <w:t>регулированию,</w:t>
      </w:r>
      <w:r>
        <w:rPr>
          <w:sz w:val="26"/>
          <w:szCs w:val="26"/>
        </w:rPr>
        <w:t xml:space="preserve"> и х</w:t>
      </w:r>
      <w:r w:rsidR="0035182B">
        <w:rPr>
          <w:sz w:val="26"/>
          <w:szCs w:val="26"/>
        </w:rPr>
        <w:t>озяйствующий субъект не имеет права взимать плату за оказываемые услуги в отсутствии утверждённого в установленном порядке тарифа</w:t>
      </w:r>
      <w:r>
        <w:rPr>
          <w:sz w:val="26"/>
          <w:szCs w:val="26"/>
        </w:rPr>
        <w:t>.</w:t>
      </w:r>
      <w:r w:rsidR="0035182B">
        <w:rPr>
          <w:sz w:val="26"/>
          <w:szCs w:val="26"/>
        </w:rPr>
        <w:t xml:space="preserve"> </w:t>
      </w:r>
    </w:p>
    <w:p w:rsidR="00542641" w:rsidRPr="00163A87" w:rsidRDefault="00D8627E" w:rsidP="00542641">
      <w:pPr>
        <w:spacing w:before="120" w:line="276" w:lineRule="auto"/>
        <w:ind w:firstLine="454"/>
        <w:jc w:val="both"/>
        <w:rPr>
          <w:sz w:val="26"/>
          <w:szCs w:val="26"/>
        </w:rPr>
      </w:pPr>
      <w:r w:rsidRPr="00163A87">
        <w:rPr>
          <w:sz w:val="26"/>
          <w:szCs w:val="26"/>
        </w:rPr>
        <w:t>По результатам рассмотрения дел</w:t>
      </w:r>
      <w:r w:rsidR="00DD05A1">
        <w:rPr>
          <w:sz w:val="26"/>
          <w:szCs w:val="26"/>
        </w:rPr>
        <w:t>а</w:t>
      </w:r>
      <w:r w:rsidR="003811D4" w:rsidRPr="00163A87">
        <w:rPr>
          <w:sz w:val="26"/>
          <w:szCs w:val="26"/>
        </w:rPr>
        <w:t xml:space="preserve"> </w:t>
      </w:r>
      <w:r w:rsidR="00542641" w:rsidRPr="00C03A2A">
        <w:rPr>
          <w:sz w:val="26"/>
          <w:szCs w:val="26"/>
        </w:rPr>
        <w:t>выдано предписани</w:t>
      </w:r>
      <w:r w:rsidR="00DD05A1" w:rsidRPr="00C03A2A">
        <w:rPr>
          <w:sz w:val="26"/>
          <w:szCs w:val="26"/>
        </w:rPr>
        <w:t>е</w:t>
      </w:r>
      <w:r w:rsidR="00542641" w:rsidRPr="00163A87">
        <w:rPr>
          <w:sz w:val="26"/>
          <w:szCs w:val="26"/>
        </w:rPr>
        <w:t xml:space="preserve"> о прекращении нарушения и совершении действий, направленных на устранение нарушения антимонопольного законодательства. </w:t>
      </w:r>
    </w:p>
    <w:p w:rsidR="001469DC" w:rsidRDefault="001469DC" w:rsidP="001469DC">
      <w:pPr>
        <w:spacing w:before="120" w:line="276" w:lineRule="auto"/>
        <w:ind w:firstLine="720"/>
        <w:jc w:val="both"/>
        <w:rPr>
          <w:sz w:val="26"/>
          <w:szCs w:val="26"/>
        </w:rPr>
      </w:pPr>
      <w:r w:rsidRPr="00163A87">
        <w:rPr>
          <w:sz w:val="26"/>
          <w:szCs w:val="26"/>
        </w:rPr>
        <w:t>К положительны</w:t>
      </w:r>
      <w:r>
        <w:rPr>
          <w:sz w:val="26"/>
          <w:szCs w:val="26"/>
        </w:rPr>
        <w:t>м</w:t>
      </w:r>
      <w:r w:rsidRPr="00163A87">
        <w:rPr>
          <w:sz w:val="26"/>
          <w:szCs w:val="26"/>
        </w:rPr>
        <w:t xml:space="preserve"> результат</w:t>
      </w:r>
      <w:r>
        <w:rPr>
          <w:sz w:val="26"/>
          <w:szCs w:val="26"/>
        </w:rPr>
        <w:t>ам</w:t>
      </w:r>
      <w:r w:rsidRPr="00163A87">
        <w:rPr>
          <w:sz w:val="26"/>
          <w:szCs w:val="26"/>
        </w:rPr>
        <w:t xml:space="preserve"> </w:t>
      </w:r>
      <w:r>
        <w:rPr>
          <w:sz w:val="26"/>
          <w:szCs w:val="26"/>
        </w:rPr>
        <w:t xml:space="preserve">деятельности </w:t>
      </w:r>
      <w:r w:rsidRPr="00163A87">
        <w:rPr>
          <w:sz w:val="26"/>
          <w:szCs w:val="26"/>
        </w:rPr>
        <w:t>Управлени</w:t>
      </w:r>
      <w:r>
        <w:rPr>
          <w:sz w:val="26"/>
          <w:szCs w:val="26"/>
        </w:rPr>
        <w:t>я</w:t>
      </w:r>
      <w:r w:rsidRPr="00163A87">
        <w:rPr>
          <w:sz w:val="26"/>
          <w:szCs w:val="26"/>
        </w:rPr>
        <w:t xml:space="preserve"> в </w:t>
      </w:r>
      <w:r>
        <w:rPr>
          <w:sz w:val="26"/>
          <w:szCs w:val="26"/>
        </w:rPr>
        <w:t>первом полугодии текущего года</w:t>
      </w:r>
      <w:r w:rsidRPr="00163A87">
        <w:rPr>
          <w:sz w:val="26"/>
          <w:szCs w:val="26"/>
        </w:rPr>
        <w:t xml:space="preserve"> можно отнести заверш</w:t>
      </w:r>
      <w:r>
        <w:rPr>
          <w:sz w:val="26"/>
          <w:szCs w:val="26"/>
        </w:rPr>
        <w:t>ение</w:t>
      </w:r>
      <w:r w:rsidRPr="00163A87">
        <w:rPr>
          <w:sz w:val="26"/>
          <w:szCs w:val="26"/>
        </w:rPr>
        <w:t xml:space="preserve"> процесс</w:t>
      </w:r>
      <w:r>
        <w:rPr>
          <w:sz w:val="26"/>
          <w:szCs w:val="26"/>
        </w:rPr>
        <w:t>ов</w:t>
      </w:r>
      <w:r w:rsidRPr="00163A87">
        <w:rPr>
          <w:sz w:val="26"/>
          <w:szCs w:val="26"/>
        </w:rPr>
        <w:t xml:space="preserve"> судебного обжалования </w:t>
      </w:r>
      <w:r>
        <w:rPr>
          <w:sz w:val="26"/>
          <w:szCs w:val="26"/>
        </w:rPr>
        <w:t>принятых</w:t>
      </w:r>
      <w:r w:rsidRPr="00163A87">
        <w:rPr>
          <w:sz w:val="26"/>
          <w:szCs w:val="26"/>
        </w:rPr>
        <w:t xml:space="preserve"> Тюменск</w:t>
      </w:r>
      <w:r>
        <w:rPr>
          <w:sz w:val="26"/>
          <w:szCs w:val="26"/>
        </w:rPr>
        <w:t xml:space="preserve">им </w:t>
      </w:r>
      <w:r w:rsidRPr="00163A87">
        <w:rPr>
          <w:sz w:val="26"/>
          <w:szCs w:val="26"/>
        </w:rPr>
        <w:t>УФАС России</w:t>
      </w:r>
      <w:r w:rsidRPr="001469DC">
        <w:rPr>
          <w:sz w:val="26"/>
          <w:szCs w:val="26"/>
        </w:rPr>
        <w:t xml:space="preserve"> </w:t>
      </w:r>
      <w:r w:rsidRPr="00163A87">
        <w:rPr>
          <w:sz w:val="26"/>
          <w:szCs w:val="26"/>
        </w:rPr>
        <w:t>решени</w:t>
      </w:r>
      <w:r>
        <w:rPr>
          <w:sz w:val="26"/>
          <w:szCs w:val="26"/>
        </w:rPr>
        <w:t>й по делам о нарушении антимонопольных запретов на злоупотребление доминированием.</w:t>
      </w:r>
    </w:p>
    <w:p w:rsidR="00F63B1F" w:rsidRPr="00163A87" w:rsidRDefault="00F63B1F" w:rsidP="00F63B1F">
      <w:pPr>
        <w:spacing w:line="276" w:lineRule="auto"/>
        <w:ind w:firstLine="720"/>
        <w:jc w:val="both"/>
        <w:rPr>
          <w:sz w:val="26"/>
          <w:szCs w:val="26"/>
        </w:rPr>
      </w:pPr>
      <w:r>
        <w:rPr>
          <w:sz w:val="26"/>
          <w:szCs w:val="26"/>
        </w:rPr>
        <w:t xml:space="preserve">Суды апелляционной либо кассационной инстанций поставили точку в процессе судебного обжалования решений и предписаний Тюменского УФАС России, принятых по итогам рассмотрения  дел о нарушении антимонопольного законодательства, возбуждённых в отношении  </w:t>
      </w:r>
      <w:r w:rsidRPr="00163A87">
        <w:rPr>
          <w:sz w:val="26"/>
          <w:szCs w:val="26"/>
        </w:rPr>
        <w:t>ООО «Газпром межрегионгаз Север», ГБУ Тюменской области  «Объединение автовокзалов и автостанций» и АО «Аэропорт  «Рощино».</w:t>
      </w:r>
    </w:p>
    <w:p w:rsidR="00F63B1F" w:rsidRDefault="00F63B1F" w:rsidP="001469DC">
      <w:pPr>
        <w:spacing w:before="120" w:line="276" w:lineRule="auto"/>
        <w:ind w:firstLine="454"/>
        <w:jc w:val="both"/>
        <w:rPr>
          <w:sz w:val="26"/>
          <w:szCs w:val="26"/>
        </w:rPr>
      </w:pPr>
      <w:r>
        <w:rPr>
          <w:sz w:val="26"/>
          <w:szCs w:val="26"/>
        </w:rPr>
        <w:t>Таким образом</w:t>
      </w:r>
      <w:r w:rsidR="00455059">
        <w:rPr>
          <w:sz w:val="26"/>
          <w:szCs w:val="26"/>
        </w:rPr>
        <w:t>,</w:t>
      </w:r>
      <w:r>
        <w:rPr>
          <w:sz w:val="26"/>
          <w:szCs w:val="26"/>
        </w:rPr>
        <w:t xml:space="preserve">  судами </w:t>
      </w:r>
      <w:r w:rsidR="00455059">
        <w:rPr>
          <w:sz w:val="26"/>
          <w:szCs w:val="26"/>
        </w:rPr>
        <w:t>подтверждено,</w:t>
      </w:r>
      <w:r>
        <w:rPr>
          <w:sz w:val="26"/>
          <w:szCs w:val="26"/>
        </w:rPr>
        <w:t xml:space="preserve"> что прин</w:t>
      </w:r>
      <w:r w:rsidR="00C03A2A">
        <w:rPr>
          <w:sz w:val="26"/>
          <w:szCs w:val="26"/>
        </w:rPr>
        <w:t>ятые</w:t>
      </w:r>
      <w:r>
        <w:rPr>
          <w:sz w:val="26"/>
          <w:szCs w:val="26"/>
        </w:rPr>
        <w:t xml:space="preserve">  Тюменским УФАС России решения о нарушении антимонопольных запретов являются обоснованными и законными.</w:t>
      </w:r>
    </w:p>
    <w:p w:rsidR="001469DC" w:rsidRPr="00163A87" w:rsidRDefault="001469DC" w:rsidP="001469DC">
      <w:pPr>
        <w:spacing w:before="120" w:line="276" w:lineRule="auto"/>
        <w:ind w:firstLine="454"/>
        <w:jc w:val="both"/>
        <w:rPr>
          <w:rFonts w:eastAsia="Calibri"/>
          <w:bCs/>
          <w:sz w:val="26"/>
          <w:szCs w:val="26"/>
          <w:lang w:eastAsia="en-US"/>
        </w:rPr>
      </w:pPr>
      <w:r>
        <w:rPr>
          <w:sz w:val="26"/>
          <w:szCs w:val="26"/>
        </w:rPr>
        <w:t xml:space="preserve">Так по </w:t>
      </w:r>
      <w:r w:rsidR="00F63B1F">
        <w:rPr>
          <w:sz w:val="26"/>
          <w:szCs w:val="26"/>
        </w:rPr>
        <w:t xml:space="preserve">результатам рассмотрения </w:t>
      </w:r>
      <w:r>
        <w:rPr>
          <w:sz w:val="26"/>
          <w:szCs w:val="26"/>
        </w:rPr>
        <w:t>дву</w:t>
      </w:r>
      <w:r w:rsidR="00F63B1F">
        <w:rPr>
          <w:sz w:val="26"/>
          <w:szCs w:val="26"/>
        </w:rPr>
        <w:t>х</w:t>
      </w:r>
      <w:r>
        <w:rPr>
          <w:sz w:val="26"/>
          <w:szCs w:val="26"/>
        </w:rPr>
        <w:t xml:space="preserve"> аналогичны</w:t>
      </w:r>
      <w:r w:rsidR="00F63B1F">
        <w:rPr>
          <w:sz w:val="26"/>
          <w:szCs w:val="26"/>
        </w:rPr>
        <w:t>х</w:t>
      </w:r>
      <w:r>
        <w:rPr>
          <w:sz w:val="26"/>
          <w:szCs w:val="26"/>
        </w:rPr>
        <w:t xml:space="preserve"> дел</w:t>
      </w:r>
      <w:r w:rsidR="00F63B1F">
        <w:rPr>
          <w:sz w:val="26"/>
          <w:szCs w:val="26"/>
        </w:rPr>
        <w:t>,</w:t>
      </w:r>
      <w:r w:rsidRPr="00163A87">
        <w:rPr>
          <w:sz w:val="26"/>
          <w:szCs w:val="26"/>
        </w:rPr>
        <w:t xml:space="preserve"> возбуждённых </w:t>
      </w:r>
      <w:r w:rsidR="00F63B1F">
        <w:rPr>
          <w:sz w:val="26"/>
          <w:szCs w:val="26"/>
        </w:rPr>
        <w:t xml:space="preserve">на основании заявлений управляющей компании </w:t>
      </w:r>
      <w:r>
        <w:rPr>
          <w:sz w:val="26"/>
          <w:szCs w:val="26"/>
        </w:rPr>
        <w:t xml:space="preserve">в отношении </w:t>
      </w:r>
      <w:r w:rsidRPr="00163A87">
        <w:rPr>
          <w:sz w:val="26"/>
          <w:szCs w:val="26"/>
        </w:rPr>
        <w:t>ООО «Газпром межрегионгаз Север»</w:t>
      </w:r>
      <w:r>
        <w:rPr>
          <w:sz w:val="26"/>
          <w:szCs w:val="26"/>
        </w:rPr>
        <w:t>,</w:t>
      </w:r>
      <w:r w:rsidR="00F63B1F">
        <w:rPr>
          <w:sz w:val="26"/>
          <w:szCs w:val="26"/>
        </w:rPr>
        <w:t xml:space="preserve"> управлением были приняты решения о</w:t>
      </w:r>
      <w:r w:rsidR="00F63B1F" w:rsidRPr="00F63B1F">
        <w:rPr>
          <w:sz w:val="26"/>
          <w:szCs w:val="26"/>
        </w:rPr>
        <w:t xml:space="preserve"> </w:t>
      </w:r>
      <w:r w:rsidR="00F63B1F">
        <w:rPr>
          <w:sz w:val="26"/>
          <w:szCs w:val="26"/>
        </w:rPr>
        <w:t xml:space="preserve">нарушении поставщиком природного газа </w:t>
      </w:r>
      <w:r w:rsidR="00F63B1F" w:rsidRPr="00163A87">
        <w:rPr>
          <w:sz w:val="26"/>
          <w:szCs w:val="26"/>
        </w:rPr>
        <w:t>установленных в статьи 10 Федерального закона «О защите конкуренции»</w:t>
      </w:r>
      <w:r w:rsidR="00F63B1F" w:rsidRPr="00F63B1F">
        <w:rPr>
          <w:sz w:val="26"/>
          <w:szCs w:val="26"/>
        </w:rPr>
        <w:t xml:space="preserve"> </w:t>
      </w:r>
      <w:r w:rsidR="00F63B1F" w:rsidRPr="00163A87">
        <w:rPr>
          <w:sz w:val="26"/>
          <w:szCs w:val="26"/>
        </w:rPr>
        <w:t>запретов</w:t>
      </w:r>
      <w:r w:rsidR="00F63B1F">
        <w:rPr>
          <w:sz w:val="26"/>
          <w:szCs w:val="26"/>
        </w:rPr>
        <w:t>.</w:t>
      </w:r>
      <w:r w:rsidR="00455059">
        <w:rPr>
          <w:sz w:val="26"/>
          <w:szCs w:val="26"/>
        </w:rPr>
        <w:t xml:space="preserve"> Путём выдачи предписания</w:t>
      </w:r>
      <w:r w:rsidR="00455059">
        <w:rPr>
          <w:rFonts w:eastAsia="Calibri"/>
          <w:sz w:val="26"/>
          <w:szCs w:val="26"/>
          <w:lang w:eastAsia="en-US"/>
        </w:rPr>
        <w:t xml:space="preserve"> были пресечены действия поставщика природного газа, которые выразились</w:t>
      </w:r>
      <w:r w:rsidRPr="00163A87">
        <w:rPr>
          <w:rFonts w:eastAsia="Calibri"/>
          <w:bCs/>
          <w:sz w:val="26"/>
          <w:szCs w:val="26"/>
          <w:lang w:eastAsia="en-US"/>
        </w:rPr>
        <w:t xml:space="preserve"> в необоснованном ограничении поставки газа для крышных котельных жилых многоквартирных домов</w:t>
      </w:r>
      <w:r w:rsidR="00455059">
        <w:rPr>
          <w:rFonts w:eastAsia="Calibri"/>
          <w:bCs/>
          <w:sz w:val="26"/>
          <w:szCs w:val="26"/>
          <w:lang w:eastAsia="en-US"/>
        </w:rPr>
        <w:t>.</w:t>
      </w:r>
    </w:p>
    <w:p w:rsidR="00AA72B7" w:rsidRPr="00163A87" w:rsidRDefault="00AA72B7" w:rsidP="00AA72B7">
      <w:pPr>
        <w:spacing w:before="120" w:line="276" w:lineRule="auto"/>
        <w:ind w:firstLine="454"/>
        <w:jc w:val="both"/>
        <w:rPr>
          <w:sz w:val="26"/>
          <w:szCs w:val="26"/>
        </w:rPr>
      </w:pPr>
      <w:r w:rsidRPr="00163A87">
        <w:rPr>
          <w:sz w:val="26"/>
          <w:szCs w:val="26"/>
        </w:rPr>
        <w:t xml:space="preserve">За совершенные правонарушения на рынке поставки природного газа ООО «Газпром межрегионгаз Север» и должностное лицо Общества  привлечены к административной ответственности. Суммарный размер применённых к хозяйствующему субъекту штрафных санкций составил </w:t>
      </w:r>
      <w:r w:rsidRPr="00163A87">
        <w:rPr>
          <w:b/>
          <w:sz w:val="26"/>
          <w:szCs w:val="26"/>
        </w:rPr>
        <w:t xml:space="preserve">1,3 млн. рублей. </w:t>
      </w:r>
      <w:r w:rsidRPr="00163A87">
        <w:rPr>
          <w:sz w:val="26"/>
          <w:szCs w:val="26"/>
        </w:rPr>
        <w:t xml:space="preserve">Должностное лицо за нарушение закона заплатило </w:t>
      </w:r>
      <w:r w:rsidR="00B92DE6">
        <w:rPr>
          <w:sz w:val="26"/>
          <w:szCs w:val="26"/>
        </w:rPr>
        <w:t xml:space="preserve">штраф  - </w:t>
      </w:r>
      <w:r w:rsidRPr="00B92DE6">
        <w:rPr>
          <w:b/>
          <w:sz w:val="26"/>
          <w:szCs w:val="26"/>
        </w:rPr>
        <w:t>30 тыс. рублей</w:t>
      </w:r>
      <w:r w:rsidRPr="00163A87">
        <w:rPr>
          <w:sz w:val="26"/>
          <w:szCs w:val="26"/>
        </w:rPr>
        <w:t>.</w:t>
      </w:r>
    </w:p>
    <w:p w:rsidR="00455059" w:rsidRPr="00163A87" w:rsidRDefault="00455059" w:rsidP="00455059">
      <w:pPr>
        <w:spacing w:before="120" w:line="276" w:lineRule="auto"/>
        <w:ind w:firstLine="454"/>
        <w:jc w:val="both"/>
        <w:rPr>
          <w:sz w:val="26"/>
          <w:szCs w:val="26"/>
        </w:rPr>
      </w:pPr>
      <w:r>
        <w:rPr>
          <w:sz w:val="26"/>
          <w:szCs w:val="26"/>
        </w:rPr>
        <w:t>В 2017 году судами также была п</w:t>
      </w:r>
      <w:r w:rsidRPr="00163A87">
        <w:rPr>
          <w:sz w:val="26"/>
          <w:szCs w:val="26"/>
        </w:rPr>
        <w:t>одтверждена законность решения и предписания по делу  о нарушении антимонопольного законодательства, возбуждённо</w:t>
      </w:r>
      <w:r>
        <w:rPr>
          <w:sz w:val="26"/>
          <w:szCs w:val="26"/>
        </w:rPr>
        <w:t>го ещё</w:t>
      </w:r>
      <w:r w:rsidRPr="00163A87">
        <w:rPr>
          <w:sz w:val="26"/>
          <w:szCs w:val="26"/>
        </w:rPr>
        <w:t xml:space="preserve"> в 2016 году в отношении ГБУ Тюменской области  «Объединение Автовокзалов и автостанций» (далее также – Автовокзал).</w:t>
      </w:r>
    </w:p>
    <w:p w:rsidR="00455059" w:rsidRDefault="00455059" w:rsidP="004957DA">
      <w:pPr>
        <w:spacing w:before="120" w:line="276" w:lineRule="auto"/>
        <w:ind w:firstLine="454"/>
        <w:jc w:val="both"/>
        <w:rPr>
          <w:sz w:val="26"/>
          <w:szCs w:val="26"/>
        </w:rPr>
      </w:pPr>
      <w:proofErr w:type="gramStart"/>
      <w:r>
        <w:rPr>
          <w:sz w:val="26"/>
          <w:szCs w:val="26"/>
        </w:rPr>
        <w:t>В мае текущего года Автовокзал, в установленные предписанием сроки, которые были перенесены  в связи с обжалованием решения и предписания в суде, отчитался  Управлению о его исполнении и предоставил соответствующие доказательства.</w:t>
      </w:r>
      <w:proofErr w:type="gramEnd"/>
    </w:p>
    <w:p w:rsidR="004957DA" w:rsidRPr="00163A87" w:rsidRDefault="00455059" w:rsidP="004957DA">
      <w:pPr>
        <w:spacing w:before="120" w:line="276" w:lineRule="auto"/>
        <w:ind w:firstLine="454"/>
        <w:jc w:val="both"/>
        <w:rPr>
          <w:sz w:val="26"/>
          <w:szCs w:val="26"/>
        </w:rPr>
      </w:pPr>
      <w:r>
        <w:rPr>
          <w:sz w:val="26"/>
          <w:szCs w:val="26"/>
        </w:rPr>
        <w:t xml:space="preserve">  </w:t>
      </w:r>
      <w:r w:rsidR="0037244F">
        <w:rPr>
          <w:sz w:val="26"/>
          <w:szCs w:val="26"/>
        </w:rPr>
        <w:t xml:space="preserve">Необходимо напомнить, что </w:t>
      </w:r>
      <w:r w:rsidR="004957DA" w:rsidRPr="00163A87">
        <w:rPr>
          <w:sz w:val="26"/>
          <w:szCs w:val="26"/>
        </w:rPr>
        <w:t xml:space="preserve">ГБУ Тюменской области «Объединение автовокзалов и автостанций» занимает доминирующее положение на рынке услуг автовокзала (автостанции) в границах муниципальных образований Тюменской области (без автономных округов) за исключением </w:t>
      </w:r>
      <w:proofErr w:type="spellStart"/>
      <w:r w:rsidR="004957DA" w:rsidRPr="00163A87">
        <w:rPr>
          <w:sz w:val="26"/>
          <w:szCs w:val="26"/>
        </w:rPr>
        <w:t>г</w:t>
      </w:r>
      <w:proofErr w:type="gramStart"/>
      <w:r w:rsidR="004957DA" w:rsidRPr="00163A87">
        <w:rPr>
          <w:sz w:val="26"/>
          <w:szCs w:val="26"/>
        </w:rPr>
        <w:t>.Т</w:t>
      </w:r>
      <w:proofErr w:type="gramEnd"/>
      <w:r w:rsidR="004957DA" w:rsidRPr="00163A87">
        <w:rPr>
          <w:sz w:val="26"/>
          <w:szCs w:val="26"/>
        </w:rPr>
        <w:t>обольска</w:t>
      </w:r>
      <w:proofErr w:type="spellEnd"/>
      <w:r w:rsidR="004957DA" w:rsidRPr="00163A87">
        <w:rPr>
          <w:sz w:val="26"/>
          <w:szCs w:val="26"/>
        </w:rPr>
        <w:t xml:space="preserve">, Тобольского, Сладковского, Аромашевского и Уватского районов. </w:t>
      </w:r>
    </w:p>
    <w:p w:rsidR="004957DA" w:rsidRPr="00163A87" w:rsidRDefault="004957DA" w:rsidP="004957DA">
      <w:pPr>
        <w:spacing w:before="120" w:line="276" w:lineRule="auto"/>
        <w:ind w:firstLine="454"/>
        <w:jc w:val="both"/>
        <w:rPr>
          <w:sz w:val="26"/>
          <w:szCs w:val="26"/>
        </w:rPr>
      </w:pPr>
      <w:r w:rsidRPr="00163A87">
        <w:rPr>
          <w:sz w:val="26"/>
          <w:szCs w:val="26"/>
        </w:rPr>
        <w:t>Автовокзал осуществляет реализацию билетов на осуществляемые автотранспортными предприятиями перевозки пассажиров и багажа по межмуниципальным и межрегиональным  маршрутам. Средства, получаемые от реализации билетов, образуют выручку автотранспортных предприятий за перевозку пассажиров (багажа), часть которой Автовокзал удерживает в виде платы за оказываемые перевозчикам услуги.</w:t>
      </w:r>
    </w:p>
    <w:p w:rsidR="00056900" w:rsidRPr="00163A87" w:rsidRDefault="00056900" w:rsidP="00056900">
      <w:pPr>
        <w:spacing w:before="120" w:line="276" w:lineRule="auto"/>
        <w:ind w:firstLine="454"/>
        <w:jc w:val="both"/>
        <w:rPr>
          <w:sz w:val="26"/>
          <w:szCs w:val="26"/>
        </w:rPr>
      </w:pPr>
      <w:proofErr w:type="gramStart"/>
      <w:r w:rsidRPr="00163A87">
        <w:rPr>
          <w:sz w:val="26"/>
          <w:szCs w:val="26"/>
        </w:rPr>
        <w:t xml:space="preserve">Антимонопольным управлением доказано, что стоимость услуги автовокзала определяется хозяйствующим субъектом не в зависимости от понесённых предприятием  расходов на оказание услуги (затратным методом), а в виде относительного показателя, устанавливающего зависимость между размером платы за оказание услуги и выручкой, получаемой перевозчиком, уровень которой обусловлен, в том числе дальностью совершаемых автоперевозчиком рейсов и другими критериями, формирующих в конечном итоге стоимость билета. </w:t>
      </w:r>
      <w:proofErr w:type="gramEnd"/>
    </w:p>
    <w:p w:rsidR="004957DA" w:rsidRPr="00163A87" w:rsidRDefault="004957DA" w:rsidP="004957DA">
      <w:pPr>
        <w:spacing w:before="120" w:line="276" w:lineRule="auto"/>
        <w:ind w:firstLine="454"/>
        <w:jc w:val="both"/>
        <w:rPr>
          <w:sz w:val="26"/>
          <w:szCs w:val="26"/>
        </w:rPr>
      </w:pPr>
      <w:proofErr w:type="gramStart"/>
      <w:r w:rsidRPr="00163A87">
        <w:rPr>
          <w:sz w:val="26"/>
          <w:szCs w:val="26"/>
        </w:rPr>
        <w:t xml:space="preserve">Таким образом, за оказываемые услуги по организации регулярных перевозок пассажиров и багажа Автовокзал  устанавливает и взимает плату, которая зависит от размера выручки АТП от реализации билетов на проезд пассажиров и провоз багажа, а также и от суммы компенсации, которую автопредприятие получает из бюджета за перевозку пассажиров, пользующихся бесплатным проездом по действующим льготам. </w:t>
      </w:r>
      <w:proofErr w:type="gramEnd"/>
    </w:p>
    <w:p w:rsidR="004957DA" w:rsidRPr="00163A87" w:rsidRDefault="0037244F" w:rsidP="004957DA">
      <w:pPr>
        <w:spacing w:before="120" w:line="276" w:lineRule="auto"/>
        <w:ind w:firstLine="454"/>
        <w:jc w:val="both"/>
        <w:rPr>
          <w:sz w:val="26"/>
          <w:szCs w:val="26"/>
        </w:rPr>
      </w:pPr>
      <w:r>
        <w:rPr>
          <w:sz w:val="26"/>
          <w:szCs w:val="26"/>
        </w:rPr>
        <w:t xml:space="preserve">Антимонопольным управлением был сделан </w:t>
      </w:r>
      <w:r w:rsidR="004957DA" w:rsidRPr="00163A87">
        <w:rPr>
          <w:sz w:val="26"/>
          <w:szCs w:val="26"/>
        </w:rPr>
        <w:t xml:space="preserve">вывод, что стоимостное выражение (плата) одинаковой по содержанию услуги, оказанной Автовокзалом конкретному перевозчику, является разным, что приводит к дискриминации одних перевозчиков по сравнению с другими, так как ставит их в неравное положение при осуществлении деятельности на рынке услуг по перевозке пассажиров и багажа автобусами регулярных маршрутов. </w:t>
      </w:r>
    </w:p>
    <w:p w:rsidR="0037244F" w:rsidRDefault="00056900" w:rsidP="00A271F3">
      <w:pPr>
        <w:spacing w:before="120" w:line="276" w:lineRule="auto"/>
        <w:ind w:firstLine="454"/>
        <w:jc w:val="both"/>
        <w:rPr>
          <w:sz w:val="26"/>
          <w:szCs w:val="26"/>
        </w:rPr>
      </w:pPr>
      <w:r w:rsidRPr="00163A87">
        <w:rPr>
          <w:sz w:val="26"/>
          <w:szCs w:val="26"/>
        </w:rPr>
        <w:t>В в</w:t>
      </w:r>
      <w:r w:rsidR="0071480C" w:rsidRPr="00163A87">
        <w:rPr>
          <w:sz w:val="26"/>
          <w:szCs w:val="26"/>
        </w:rPr>
        <w:t>ыданно</w:t>
      </w:r>
      <w:r w:rsidRPr="00163A87">
        <w:rPr>
          <w:sz w:val="26"/>
          <w:szCs w:val="26"/>
        </w:rPr>
        <w:t>м</w:t>
      </w:r>
      <w:r w:rsidR="0071480C" w:rsidRPr="00163A87">
        <w:rPr>
          <w:sz w:val="26"/>
          <w:szCs w:val="26"/>
        </w:rPr>
        <w:t xml:space="preserve">  Автовокзалу </w:t>
      </w:r>
      <w:proofErr w:type="gramStart"/>
      <w:r w:rsidR="0071480C" w:rsidRPr="00163A87">
        <w:rPr>
          <w:sz w:val="26"/>
          <w:szCs w:val="26"/>
        </w:rPr>
        <w:t>предписани</w:t>
      </w:r>
      <w:r w:rsidRPr="00163A87">
        <w:rPr>
          <w:sz w:val="26"/>
          <w:szCs w:val="26"/>
        </w:rPr>
        <w:t>и</w:t>
      </w:r>
      <w:proofErr w:type="gramEnd"/>
      <w:r w:rsidRPr="00163A87">
        <w:rPr>
          <w:sz w:val="26"/>
          <w:szCs w:val="26"/>
        </w:rPr>
        <w:t xml:space="preserve"> Управлением определены</w:t>
      </w:r>
      <w:r w:rsidR="00A05796" w:rsidRPr="00163A87">
        <w:rPr>
          <w:sz w:val="26"/>
          <w:szCs w:val="26"/>
        </w:rPr>
        <w:t xml:space="preserve"> </w:t>
      </w:r>
      <w:r w:rsidR="00A271F3" w:rsidRPr="00163A87">
        <w:rPr>
          <w:sz w:val="26"/>
          <w:szCs w:val="26"/>
        </w:rPr>
        <w:t xml:space="preserve">сроки и </w:t>
      </w:r>
      <w:r w:rsidR="00A05796" w:rsidRPr="00163A87">
        <w:rPr>
          <w:sz w:val="26"/>
          <w:szCs w:val="26"/>
        </w:rPr>
        <w:t xml:space="preserve">перечень </w:t>
      </w:r>
      <w:r w:rsidRPr="00163A87">
        <w:rPr>
          <w:sz w:val="26"/>
          <w:szCs w:val="26"/>
        </w:rPr>
        <w:t>требований (</w:t>
      </w:r>
      <w:r w:rsidR="00A05796" w:rsidRPr="00163A87">
        <w:rPr>
          <w:sz w:val="26"/>
          <w:szCs w:val="26"/>
        </w:rPr>
        <w:t>действий</w:t>
      </w:r>
      <w:r w:rsidRPr="00163A87">
        <w:rPr>
          <w:sz w:val="26"/>
          <w:szCs w:val="26"/>
        </w:rPr>
        <w:t>)</w:t>
      </w:r>
      <w:r w:rsidR="00A05796" w:rsidRPr="00163A87">
        <w:rPr>
          <w:sz w:val="26"/>
          <w:szCs w:val="26"/>
        </w:rPr>
        <w:t xml:space="preserve">, которые должен </w:t>
      </w:r>
      <w:r w:rsidRPr="00163A87">
        <w:rPr>
          <w:sz w:val="26"/>
          <w:szCs w:val="26"/>
        </w:rPr>
        <w:t xml:space="preserve">исполнить хозяйствующий субъект </w:t>
      </w:r>
      <w:r w:rsidR="00A05796" w:rsidRPr="00163A87">
        <w:rPr>
          <w:sz w:val="26"/>
          <w:szCs w:val="26"/>
        </w:rPr>
        <w:t>для устранения нарушения требований антимонопольного законодательства</w:t>
      </w:r>
      <w:r w:rsidR="0037244F">
        <w:rPr>
          <w:sz w:val="26"/>
          <w:szCs w:val="26"/>
        </w:rPr>
        <w:t>.</w:t>
      </w:r>
    </w:p>
    <w:p w:rsidR="00A05796" w:rsidRPr="00163A87" w:rsidRDefault="0037244F" w:rsidP="00A271F3">
      <w:pPr>
        <w:spacing w:before="120" w:line="276" w:lineRule="auto"/>
        <w:ind w:firstLine="454"/>
        <w:jc w:val="both"/>
        <w:rPr>
          <w:sz w:val="26"/>
          <w:szCs w:val="26"/>
        </w:rPr>
      </w:pPr>
      <w:r>
        <w:rPr>
          <w:sz w:val="26"/>
          <w:szCs w:val="26"/>
        </w:rPr>
        <w:t xml:space="preserve"> Автовокзал исполнил выданное предписание: приказом директора Автовокзала </w:t>
      </w:r>
      <w:r w:rsidR="00A05796" w:rsidRPr="00163A87">
        <w:rPr>
          <w:bCs/>
          <w:sz w:val="26"/>
          <w:szCs w:val="26"/>
        </w:rPr>
        <w:t>установ</w:t>
      </w:r>
      <w:r>
        <w:rPr>
          <w:bCs/>
          <w:sz w:val="26"/>
          <w:szCs w:val="26"/>
        </w:rPr>
        <w:t>лен</w:t>
      </w:r>
      <w:r w:rsidR="00A05796" w:rsidRPr="00163A87">
        <w:rPr>
          <w:bCs/>
          <w:sz w:val="26"/>
          <w:szCs w:val="26"/>
        </w:rPr>
        <w:t xml:space="preserve"> размер платы (тариф) за услуги по организации автомобильных перевозок пассажиров и багажа на междугородных и пригородных маршрутах в абсолютной величине</w:t>
      </w:r>
      <w:r w:rsidR="00A271F3" w:rsidRPr="00163A87">
        <w:rPr>
          <w:bCs/>
          <w:sz w:val="26"/>
          <w:szCs w:val="26"/>
        </w:rPr>
        <w:t xml:space="preserve">. Автовокзал </w:t>
      </w:r>
      <w:r>
        <w:rPr>
          <w:bCs/>
          <w:sz w:val="26"/>
          <w:szCs w:val="26"/>
        </w:rPr>
        <w:t>направил в Управление доказательства приведения</w:t>
      </w:r>
      <w:r w:rsidRPr="00163A87">
        <w:rPr>
          <w:sz w:val="26"/>
          <w:szCs w:val="26"/>
        </w:rPr>
        <w:t xml:space="preserve"> договоров с автоперевозчиками в части установления цен (тарифов) на оказываемые услуги в соответствие требованием предписания</w:t>
      </w:r>
      <w:r>
        <w:rPr>
          <w:sz w:val="26"/>
          <w:szCs w:val="26"/>
        </w:rPr>
        <w:t>.</w:t>
      </w:r>
    </w:p>
    <w:p w:rsidR="0037244F" w:rsidRPr="00163A87" w:rsidRDefault="0037244F" w:rsidP="0037244F">
      <w:pPr>
        <w:spacing w:before="120" w:line="276" w:lineRule="auto"/>
        <w:ind w:firstLine="454"/>
        <w:jc w:val="both"/>
        <w:rPr>
          <w:sz w:val="26"/>
          <w:szCs w:val="26"/>
        </w:rPr>
      </w:pPr>
      <w:r>
        <w:rPr>
          <w:sz w:val="26"/>
          <w:szCs w:val="26"/>
        </w:rPr>
        <w:t>Таким образом, в результате исполнения предписаний</w:t>
      </w:r>
      <w:r w:rsidRPr="00163A87">
        <w:rPr>
          <w:sz w:val="26"/>
          <w:szCs w:val="26"/>
        </w:rPr>
        <w:t xml:space="preserve"> антимонопольного управления устранен</w:t>
      </w:r>
      <w:r>
        <w:rPr>
          <w:sz w:val="26"/>
          <w:szCs w:val="26"/>
        </w:rPr>
        <w:t>ы</w:t>
      </w:r>
      <w:r w:rsidRPr="00163A87">
        <w:rPr>
          <w:sz w:val="26"/>
          <w:szCs w:val="26"/>
        </w:rPr>
        <w:t xml:space="preserve"> дискриминационны</w:t>
      </w:r>
      <w:r>
        <w:rPr>
          <w:sz w:val="26"/>
          <w:szCs w:val="26"/>
        </w:rPr>
        <w:t>е</w:t>
      </w:r>
      <w:r w:rsidRPr="00163A87">
        <w:rPr>
          <w:sz w:val="26"/>
          <w:szCs w:val="26"/>
        </w:rPr>
        <w:t xml:space="preserve"> услови</w:t>
      </w:r>
      <w:r>
        <w:rPr>
          <w:sz w:val="26"/>
          <w:szCs w:val="26"/>
        </w:rPr>
        <w:t>я</w:t>
      </w:r>
      <w:r w:rsidRPr="00163A87">
        <w:rPr>
          <w:sz w:val="26"/>
          <w:szCs w:val="26"/>
        </w:rPr>
        <w:t xml:space="preserve"> деятельности автотранспортных предприятий, осуществляющих регулярные перевозки пассажиров.</w:t>
      </w:r>
    </w:p>
    <w:p w:rsidR="001C131E" w:rsidRDefault="000A00A9" w:rsidP="004957DA">
      <w:pPr>
        <w:spacing w:before="120" w:line="276" w:lineRule="auto"/>
        <w:ind w:firstLine="454"/>
        <w:jc w:val="both"/>
        <w:rPr>
          <w:sz w:val="26"/>
          <w:szCs w:val="26"/>
        </w:rPr>
      </w:pPr>
      <w:r w:rsidRPr="00163A87">
        <w:rPr>
          <w:sz w:val="26"/>
          <w:szCs w:val="26"/>
        </w:rPr>
        <w:t xml:space="preserve">На основании </w:t>
      </w:r>
      <w:r w:rsidR="0071480C" w:rsidRPr="00163A87">
        <w:rPr>
          <w:sz w:val="26"/>
          <w:szCs w:val="26"/>
        </w:rPr>
        <w:t>установленн</w:t>
      </w:r>
      <w:r w:rsidRPr="00163A87">
        <w:rPr>
          <w:sz w:val="26"/>
          <w:szCs w:val="26"/>
        </w:rPr>
        <w:t>ого при рассмотрении дела</w:t>
      </w:r>
      <w:r w:rsidR="0071480C" w:rsidRPr="00163A87">
        <w:rPr>
          <w:sz w:val="26"/>
          <w:szCs w:val="26"/>
        </w:rPr>
        <w:t xml:space="preserve"> факт</w:t>
      </w:r>
      <w:r w:rsidRPr="00163A87">
        <w:rPr>
          <w:sz w:val="26"/>
          <w:szCs w:val="26"/>
        </w:rPr>
        <w:t>а</w:t>
      </w:r>
      <w:r w:rsidR="0071480C" w:rsidRPr="00163A87">
        <w:rPr>
          <w:sz w:val="26"/>
          <w:szCs w:val="26"/>
        </w:rPr>
        <w:t xml:space="preserve"> злоупотребления доминированием на товарном рынке, ГБУТО «Объединение Автовокзалов и автостанций» и его директор (должностное лицо) привлечены к административной ответственности в виде штрафа в размере </w:t>
      </w:r>
      <w:r w:rsidR="0071480C" w:rsidRPr="00163A87">
        <w:rPr>
          <w:b/>
          <w:sz w:val="26"/>
          <w:szCs w:val="26"/>
        </w:rPr>
        <w:t>650</w:t>
      </w:r>
      <w:r w:rsidR="003917CF" w:rsidRPr="00163A87">
        <w:rPr>
          <w:b/>
          <w:sz w:val="26"/>
          <w:szCs w:val="26"/>
        </w:rPr>
        <w:t xml:space="preserve"> тысяч</w:t>
      </w:r>
      <w:r w:rsidR="0071480C" w:rsidRPr="00163A87">
        <w:rPr>
          <w:b/>
          <w:sz w:val="26"/>
          <w:szCs w:val="26"/>
        </w:rPr>
        <w:t xml:space="preserve"> и 15 тыс</w:t>
      </w:r>
      <w:r w:rsidR="003917CF" w:rsidRPr="00163A87">
        <w:rPr>
          <w:b/>
          <w:sz w:val="26"/>
          <w:szCs w:val="26"/>
        </w:rPr>
        <w:t xml:space="preserve">яч </w:t>
      </w:r>
      <w:r w:rsidR="0071480C" w:rsidRPr="00163A87">
        <w:rPr>
          <w:b/>
          <w:sz w:val="26"/>
          <w:szCs w:val="26"/>
        </w:rPr>
        <w:t xml:space="preserve"> рублей</w:t>
      </w:r>
      <w:r w:rsidR="0071480C" w:rsidRPr="00163A87">
        <w:rPr>
          <w:sz w:val="26"/>
          <w:szCs w:val="26"/>
        </w:rPr>
        <w:t xml:space="preserve"> соответственно. </w:t>
      </w:r>
      <w:r w:rsidR="001C131E">
        <w:rPr>
          <w:sz w:val="26"/>
          <w:szCs w:val="26"/>
        </w:rPr>
        <w:t>Но су</w:t>
      </w:r>
      <w:r w:rsidR="001C131E" w:rsidRPr="00163A87">
        <w:rPr>
          <w:sz w:val="26"/>
          <w:szCs w:val="26"/>
        </w:rPr>
        <w:t>мма штрафа, наложенного на хозяйствующий субъект</w:t>
      </w:r>
      <w:r w:rsidR="001C131E">
        <w:rPr>
          <w:sz w:val="26"/>
          <w:szCs w:val="26"/>
        </w:rPr>
        <w:t>,</w:t>
      </w:r>
      <w:r w:rsidR="001C131E" w:rsidRPr="00163A87">
        <w:rPr>
          <w:sz w:val="26"/>
          <w:szCs w:val="26"/>
        </w:rPr>
        <w:t xml:space="preserve"> </w:t>
      </w:r>
      <w:r w:rsidR="001C131E">
        <w:rPr>
          <w:sz w:val="26"/>
          <w:szCs w:val="26"/>
        </w:rPr>
        <w:t>была снижена</w:t>
      </w:r>
      <w:r w:rsidR="001C131E" w:rsidRPr="00163A87">
        <w:rPr>
          <w:sz w:val="26"/>
          <w:szCs w:val="26"/>
        </w:rPr>
        <w:t xml:space="preserve"> судом </w:t>
      </w:r>
      <w:r w:rsidR="001C131E" w:rsidRPr="0037244F">
        <w:rPr>
          <w:b/>
          <w:sz w:val="26"/>
          <w:szCs w:val="26"/>
        </w:rPr>
        <w:t>до 325 тыс. рублей</w:t>
      </w:r>
      <w:r w:rsidR="001C131E" w:rsidRPr="00163A87">
        <w:rPr>
          <w:sz w:val="26"/>
          <w:szCs w:val="26"/>
        </w:rPr>
        <w:t xml:space="preserve"> (в два раза).    </w:t>
      </w:r>
    </w:p>
    <w:p w:rsidR="00CC6F24" w:rsidRDefault="00CC6F24" w:rsidP="00344CBD">
      <w:pPr>
        <w:spacing w:before="120" w:line="276" w:lineRule="auto"/>
        <w:ind w:firstLine="454"/>
        <w:jc w:val="both"/>
        <w:rPr>
          <w:sz w:val="26"/>
          <w:szCs w:val="26"/>
        </w:rPr>
      </w:pPr>
      <w:r>
        <w:rPr>
          <w:sz w:val="26"/>
          <w:szCs w:val="26"/>
        </w:rPr>
        <w:t>Постановлением апелляционного суда, принятым в июне текущего года, подтверждена законность решения и предписания Тюменского УФАС России, принятых по делу о нарушении антимонопольного законодательства, рассмотренному в отношен</w:t>
      </w:r>
      <w:proofErr w:type="gramStart"/>
      <w:r>
        <w:rPr>
          <w:sz w:val="26"/>
          <w:szCs w:val="26"/>
        </w:rPr>
        <w:t xml:space="preserve">ии </w:t>
      </w:r>
      <w:r w:rsidRPr="00163A87">
        <w:rPr>
          <w:sz w:val="26"/>
          <w:szCs w:val="26"/>
        </w:rPr>
        <w:t>АО</w:t>
      </w:r>
      <w:proofErr w:type="gramEnd"/>
      <w:r w:rsidRPr="00163A87">
        <w:rPr>
          <w:sz w:val="26"/>
          <w:szCs w:val="26"/>
        </w:rPr>
        <w:t xml:space="preserve"> «Аэропорт «Рощино»</w:t>
      </w:r>
      <w:r>
        <w:rPr>
          <w:sz w:val="26"/>
          <w:szCs w:val="26"/>
        </w:rPr>
        <w:t>.</w:t>
      </w:r>
    </w:p>
    <w:p w:rsidR="004E1D29" w:rsidRPr="00163A87" w:rsidRDefault="00026DB5" w:rsidP="00344CBD">
      <w:pPr>
        <w:spacing w:before="120" w:line="276" w:lineRule="auto"/>
        <w:ind w:firstLine="454"/>
        <w:jc w:val="both"/>
        <w:rPr>
          <w:sz w:val="26"/>
          <w:szCs w:val="26"/>
        </w:rPr>
      </w:pPr>
      <w:r w:rsidRPr="00163A87">
        <w:rPr>
          <w:sz w:val="26"/>
          <w:szCs w:val="26"/>
        </w:rPr>
        <w:t xml:space="preserve">Дело было возбуждено в начале </w:t>
      </w:r>
      <w:r w:rsidR="00CC6F24">
        <w:rPr>
          <w:sz w:val="26"/>
          <w:szCs w:val="26"/>
        </w:rPr>
        <w:t>2017 года</w:t>
      </w:r>
      <w:r w:rsidRPr="00163A87">
        <w:rPr>
          <w:sz w:val="26"/>
          <w:szCs w:val="26"/>
        </w:rPr>
        <w:t xml:space="preserve"> на основании заявления ООО «Сила вкуса» об ущемлении его интересов как  поставщика бортового питания Авиакомпании «Сибирь».</w:t>
      </w:r>
    </w:p>
    <w:p w:rsidR="00370164" w:rsidRPr="00163A87" w:rsidRDefault="00634CE1" w:rsidP="00026DB5">
      <w:pPr>
        <w:spacing w:before="120" w:line="276" w:lineRule="auto"/>
        <w:ind w:firstLine="454"/>
        <w:jc w:val="both"/>
        <w:rPr>
          <w:sz w:val="26"/>
          <w:szCs w:val="26"/>
        </w:rPr>
      </w:pPr>
      <w:r w:rsidRPr="00163A87">
        <w:rPr>
          <w:sz w:val="26"/>
          <w:szCs w:val="26"/>
        </w:rPr>
        <w:t xml:space="preserve"> </w:t>
      </w:r>
      <w:r w:rsidR="00026DB5" w:rsidRPr="00163A87">
        <w:rPr>
          <w:sz w:val="26"/>
          <w:szCs w:val="26"/>
        </w:rPr>
        <w:t>АО «Аэропорт Рощино», занимает доминирующее положение на рынке обеспечения авиационной безопасности в границах территор</w:t>
      </w:r>
      <w:proofErr w:type="gramStart"/>
      <w:r w:rsidR="00026DB5" w:rsidRPr="00163A87">
        <w:rPr>
          <w:sz w:val="26"/>
          <w:szCs w:val="26"/>
        </w:rPr>
        <w:t>ии аэ</w:t>
      </w:r>
      <w:proofErr w:type="gramEnd"/>
      <w:r w:rsidR="00026DB5" w:rsidRPr="00163A87">
        <w:rPr>
          <w:sz w:val="26"/>
          <w:szCs w:val="26"/>
        </w:rPr>
        <w:t xml:space="preserve">ропорта Тюмень (Рощино). </w:t>
      </w:r>
      <w:r w:rsidR="00370164" w:rsidRPr="00163A87">
        <w:rPr>
          <w:sz w:val="26"/>
          <w:szCs w:val="26"/>
        </w:rPr>
        <w:t xml:space="preserve">На </w:t>
      </w:r>
      <w:r w:rsidR="00026DB5" w:rsidRPr="00163A87">
        <w:rPr>
          <w:sz w:val="26"/>
          <w:szCs w:val="26"/>
        </w:rPr>
        <w:t>хозяйствующий субъект</w:t>
      </w:r>
      <w:r w:rsidR="00370164" w:rsidRPr="00163A87">
        <w:rPr>
          <w:sz w:val="26"/>
          <w:szCs w:val="26"/>
        </w:rPr>
        <w:t xml:space="preserve"> законодательно возложены функции по обеспечению авиационной безопасности, включающие обязанность организации и проведения предполётного досмотра бортового питания доставляемого на борт воздушных судов. Кроме того АО «Аэропорт «Рощино» осуществляет деятельность в качестве поставщика бортового питания в аэропорту «Рощино», имея собственный цех бортового питания, расположенный на территории контролируемой зоны аэропорта.</w:t>
      </w:r>
    </w:p>
    <w:p w:rsidR="00370164" w:rsidRPr="00163A87" w:rsidRDefault="00026DB5" w:rsidP="00370164">
      <w:pPr>
        <w:autoSpaceDE w:val="0"/>
        <w:autoSpaceDN w:val="0"/>
        <w:adjustRightInd w:val="0"/>
        <w:spacing w:before="120" w:line="276" w:lineRule="auto"/>
        <w:ind w:firstLine="454"/>
        <w:jc w:val="both"/>
        <w:rPr>
          <w:sz w:val="26"/>
          <w:szCs w:val="26"/>
        </w:rPr>
      </w:pPr>
      <w:proofErr w:type="gramStart"/>
      <w:r w:rsidRPr="00163A87">
        <w:rPr>
          <w:sz w:val="26"/>
          <w:szCs w:val="26"/>
        </w:rPr>
        <w:t xml:space="preserve">При рассмотрении деда установлено, что </w:t>
      </w:r>
      <w:r w:rsidR="00370164" w:rsidRPr="00163A87">
        <w:rPr>
          <w:sz w:val="26"/>
          <w:szCs w:val="26"/>
        </w:rPr>
        <w:t xml:space="preserve">Аэропорт в течение 2016 года </w:t>
      </w:r>
      <w:r w:rsidRPr="00163A87">
        <w:rPr>
          <w:sz w:val="26"/>
          <w:szCs w:val="26"/>
        </w:rPr>
        <w:t>необоснованно</w:t>
      </w:r>
      <w:r w:rsidR="00370164" w:rsidRPr="00163A87">
        <w:rPr>
          <w:sz w:val="26"/>
          <w:szCs w:val="26"/>
        </w:rPr>
        <w:t xml:space="preserve"> взимал с поставщика бортового питания плату за проведения его предполётного досмотра</w:t>
      </w:r>
      <w:r w:rsidR="004E1D29" w:rsidRPr="00163A87">
        <w:rPr>
          <w:sz w:val="26"/>
          <w:szCs w:val="26"/>
        </w:rPr>
        <w:t>, а з</w:t>
      </w:r>
      <w:r w:rsidR="00370164" w:rsidRPr="00163A87">
        <w:rPr>
          <w:sz w:val="26"/>
          <w:szCs w:val="26"/>
        </w:rPr>
        <w:t xml:space="preserve">атем, ссылаясь на недостаток сотрудников службы безопасности и транспортных средств, </w:t>
      </w:r>
      <w:r w:rsidR="004E1D29" w:rsidRPr="00163A87">
        <w:rPr>
          <w:sz w:val="26"/>
          <w:szCs w:val="26"/>
        </w:rPr>
        <w:t xml:space="preserve">уведомил </w:t>
      </w:r>
      <w:r w:rsidR="00370164" w:rsidRPr="00163A87">
        <w:rPr>
          <w:sz w:val="26"/>
          <w:szCs w:val="26"/>
        </w:rPr>
        <w:t xml:space="preserve">ООО «Сила вкуса» о прекращении </w:t>
      </w:r>
      <w:r w:rsidRPr="00163A87">
        <w:rPr>
          <w:sz w:val="26"/>
          <w:szCs w:val="26"/>
        </w:rPr>
        <w:t xml:space="preserve">с 2017 года </w:t>
      </w:r>
      <w:r w:rsidR="00370164" w:rsidRPr="00163A87">
        <w:rPr>
          <w:sz w:val="26"/>
          <w:szCs w:val="26"/>
        </w:rPr>
        <w:t>досмотра бортового питания и предоставления спецтранспорта для его доставки до самолёта.</w:t>
      </w:r>
      <w:proofErr w:type="gramEnd"/>
      <w:r w:rsidR="00370164" w:rsidRPr="00163A87">
        <w:rPr>
          <w:sz w:val="26"/>
          <w:szCs w:val="26"/>
        </w:rPr>
        <w:t xml:space="preserve"> </w:t>
      </w:r>
      <w:r w:rsidR="00370164" w:rsidRPr="00163A87">
        <w:rPr>
          <w:sz w:val="26"/>
          <w:szCs w:val="26"/>
        </w:rPr>
        <w:tab/>
        <w:t>Аэропорт</w:t>
      </w:r>
      <w:r w:rsidRPr="00163A87">
        <w:rPr>
          <w:sz w:val="26"/>
          <w:szCs w:val="26"/>
        </w:rPr>
        <w:t xml:space="preserve"> в дальнейшем </w:t>
      </w:r>
      <w:r w:rsidR="00370164" w:rsidRPr="00163A87">
        <w:rPr>
          <w:sz w:val="26"/>
          <w:szCs w:val="26"/>
        </w:rPr>
        <w:t xml:space="preserve"> намеренно создал для ООО «Сила вкуса» критическую ситуацию, которая могла привести к срыву поставки бортпитания и фактически стала причиной задержки рейса самолёта авиакомпании S7.</w:t>
      </w:r>
    </w:p>
    <w:p w:rsidR="00026DB5" w:rsidRPr="00163A87" w:rsidRDefault="00CC6F24" w:rsidP="00370164">
      <w:pPr>
        <w:autoSpaceDE w:val="0"/>
        <w:autoSpaceDN w:val="0"/>
        <w:adjustRightInd w:val="0"/>
        <w:spacing w:before="120" w:line="276" w:lineRule="auto"/>
        <w:ind w:firstLine="454"/>
        <w:jc w:val="both"/>
        <w:rPr>
          <w:sz w:val="26"/>
          <w:szCs w:val="26"/>
        </w:rPr>
      </w:pPr>
      <w:r>
        <w:rPr>
          <w:sz w:val="26"/>
          <w:szCs w:val="26"/>
        </w:rPr>
        <w:t>У</w:t>
      </w:r>
      <w:r w:rsidR="004E1D29" w:rsidRPr="00163A87">
        <w:rPr>
          <w:sz w:val="26"/>
          <w:szCs w:val="26"/>
        </w:rPr>
        <w:t>правлением доказано</w:t>
      </w:r>
      <w:r w:rsidR="00370164" w:rsidRPr="00163A87">
        <w:rPr>
          <w:sz w:val="26"/>
          <w:szCs w:val="26"/>
        </w:rPr>
        <w:t>, что действия Аэропорта образуют стратегию поведения, направленн</w:t>
      </w:r>
      <w:r w:rsidR="00026DB5" w:rsidRPr="00163A87">
        <w:rPr>
          <w:sz w:val="26"/>
          <w:szCs w:val="26"/>
        </w:rPr>
        <w:t>ую</w:t>
      </w:r>
      <w:r w:rsidR="00370164" w:rsidRPr="00163A87">
        <w:rPr>
          <w:sz w:val="26"/>
          <w:szCs w:val="26"/>
        </w:rPr>
        <w:t xml:space="preserve"> на воспрепятствование доступу на товарный рынок обеспечения бортовым питанием ООО «Сила вкуса» для создания условий для осуществления собственной деятельности на данном рынке.</w:t>
      </w:r>
      <w:r w:rsidR="00026DB5" w:rsidRPr="00163A87">
        <w:rPr>
          <w:sz w:val="26"/>
          <w:szCs w:val="26"/>
        </w:rPr>
        <w:t xml:space="preserve"> </w:t>
      </w:r>
    </w:p>
    <w:p w:rsidR="00026DB5" w:rsidRPr="00163A87" w:rsidRDefault="00026DB5" w:rsidP="00370164">
      <w:pPr>
        <w:autoSpaceDE w:val="0"/>
        <w:autoSpaceDN w:val="0"/>
        <w:adjustRightInd w:val="0"/>
        <w:spacing w:before="120" w:line="276" w:lineRule="auto"/>
        <w:ind w:firstLine="454"/>
        <w:jc w:val="both"/>
        <w:rPr>
          <w:sz w:val="26"/>
          <w:szCs w:val="26"/>
        </w:rPr>
      </w:pPr>
      <w:r w:rsidRPr="00163A87">
        <w:rPr>
          <w:sz w:val="26"/>
          <w:szCs w:val="26"/>
        </w:rPr>
        <w:t xml:space="preserve">Аэропорт имеет прямую экономическую заинтересованность в вытеснении ООО «Сила вкуса» с рынка поставки бортового питания. </w:t>
      </w:r>
      <w:r w:rsidR="004E1D29" w:rsidRPr="00163A87">
        <w:rPr>
          <w:sz w:val="26"/>
          <w:szCs w:val="26"/>
        </w:rPr>
        <w:t>Используя доминирующее положение на рынке аэропортовых услуг, Аэропорт умышленно и целенаправленно совершает действия, которые приводят (могут привести) к созданию для ООО «Сила вкуса» препятствий осуществления хозяйственной деятельности на рынке поставки бортового питания в аэропорту «Рощино».</w:t>
      </w:r>
      <w:r w:rsidRPr="00163A87">
        <w:rPr>
          <w:sz w:val="26"/>
          <w:szCs w:val="26"/>
        </w:rPr>
        <w:t xml:space="preserve"> </w:t>
      </w:r>
    </w:p>
    <w:p w:rsidR="00C37906" w:rsidRPr="00163A87" w:rsidRDefault="00370164" w:rsidP="00370164">
      <w:pPr>
        <w:autoSpaceDE w:val="0"/>
        <w:autoSpaceDN w:val="0"/>
        <w:adjustRightInd w:val="0"/>
        <w:spacing w:before="120" w:line="276" w:lineRule="auto"/>
        <w:ind w:firstLine="454"/>
        <w:jc w:val="both"/>
        <w:rPr>
          <w:sz w:val="26"/>
          <w:szCs w:val="26"/>
        </w:rPr>
      </w:pPr>
      <w:r w:rsidRPr="00163A87">
        <w:rPr>
          <w:sz w:val="26"/>
          <w:szCs w:val="26"/>
        </w:rPr>
        <w:t>Аэропорт Рощино нарушил сразу две нормы Федерального закона «О защите конкуренции»</w:t>
      </w:r>
      <w:r w:rsidR="00866BFF">
        <w:rPr>
          <w:sz w:val="26"/>
          <w:szCs w:val="26"/>
        </w:rPr>
        <w:t>.</w:t>
      </w:r>
      <w:r w:rsidRPr="00163A87">
        <w:rPr>
          <w:sz w:val="26"/>
          <w:szCs w:val="26"/>
        </w:rPr>
        <w:t xml:space="preserve"> </w:t>
      </w:r>
    </w:p>
    <w:p w:rsidR="00370164" w:rsidRPr="00163A87" w:rsidRDefault="00473E0F" w:rsidP="00370164">
      <w:pPr>
        <w:autoSpaceDE w:val="0"/>
        <w:autoSpaceDN w:val="0"/>
        <w:adjustRightInd w:val="0"/>
        <w:spacing w:before="120" w:line="276" w:lineRule="auto"/>
        <w:ind w:firstLine="454"/>
        <w:jc w:val="both"/>
        <w:rPr>
          <w:sz w:val="26"/>
          <w:szCs w:val="26"/>
        </w:rPr>
      </w:pPr>
      <w:proofErr w:type="gramStart"/>
      <w:r>
        <w:rPr>
          <w:sz w:val="26"/>
          <w:szCs w:val="26"/>
        </w:rPr>
        <w:t>Управлением у</w:t>
      </w:r>
      <w:r w:rsidR="00866BFF">
        <w:rPr>
          <w:sz w:val="26"/>
          <w:szCs w:val="26"/>
        </w:rPr>
        <w:t>становлено</w:t>
      </w:r>
      <w:r w:rsidR="00370164" w:rsidRPr="00163A87">
        <w:rPr>
          <w:sz w:val="26"/>
          <w:szCs w:val="26"/>
        </w:rPr>
        <w:t xml:space="preserve"> нарушени</w:t>
      </w:r>
      <w:r>
        <w:rPr>
          <w:sz w:val="26"/>
          <w:szCs w:val="26"/>
        </w:rPr>
        <w:t>е</w:t>
      </w:r>
      <w:r w:rsidR="00370164" w:rsidRPr="00163A87">
        <w:rPr>
          <w:sz w:val="26"/>
          <w:szCs w:val="26"/>
        </w:rPr>
        <w:t xml:space="preserve"> части 1 статьи 10 «О защите конкуренции»</w:t>
      </w:r>
      <w:r w:rsidR="00866BFF">
        <w:rPr>
          <w:sz w:val="26"/>
          <w:szCs w:val="26"/>
        </w:rPr>
        <w:t xml:space="preserve">, которое </w:t>
      </w:r>
      <w:r w:rsidR="00370164" w:rsidRPr="00163A87">
        <w:rPr>
          <w:sz w:val="26"/>
          <w:szCs w:val="26"/>
        </w:rPr>
        <w:t>выразилось в злоупотреблении доминирующим положением путём совершения действий по установлению и взиманию платы с ООО «Сила вкуса» за досмотр бортового питания, поставляемого на рейсы ПАО «АК «Сибирь» и платы за проведение обязательного ежедневного осмотра рентгеновского оборудования (интроскопа), используемого для предполётного досмотра бортового питания</w:t>
      </w:r>
      <w:r w:rsidR="00026DB5" w:rsidRPr="00163A87">
        <w:rPr>
          <w:sz w:val="26"/>
          <w:szCs w:val="26"/>
        </w:rPr>
        <w:t>.</w:t>
      </w:r>
      <w:r w:rsidR="00370164" w:rsidRPr="00163A87">
        <w:rPr>
          <w:sz w:val="26"/>
          <w:szCs w:val="26"/>
        </w:rPr>
        <w:t xml:space="preserve"> </w:t>
      </w:r>
      <w:proofErr w:type="gramEnd"/>
    </w:p>
    <w:p w:rsidR="00C37906" w:rsidRPr="00163A87" w:rsidRDefault="00866BFF" w:rsidP="00370164">
      <w:pPr>
        <w:autoSpaceDE w:val="0"/>
        <w:autoSpaceDN w:val="0"/>
        <w:adjustRightInd w:val="0"/>
        <w:spacing w:before="120" w:line="276" w:lineRule="auto"/>
        <w:ind w:firstLine="454"/>
        <w:jc w:val="both"/>
        <w:rPr>
          <w:sz w:val="26"/>
          <w:szCs w:val="26"/>
        </w:rPr>
      </w:pPr>
      <w:r>
        <w:rPr>
          <w:sz w:val="26"/>
          <w:szCs w:val="26"/>
        </w:rPr>
        <w:t xml:space="preserve">Также установлено, что Аэропортом </w:t>
      </w:r>
      <w:r w:rsidR="00370164" w:rsidRPr="00163A87">
        <w:rPr>
          <w:sz w:val="26"/>
          <w:szCs w:val="26"/>
        </w:rPr>
        <w:t>нарушен пункта 9 части 1 ст.10 ФЗ «О защите конкуренции»</w:t>
      </w:r>
      <w:r w:rsidR="00026DB5" w:rsidRPr="00163A87">
        <w:rPr>
          <w:sz w:val="26"/>
          <w:szCs w:val="26"/>
        </w:rPr>
        <w:t xml:space="preserve">. Нарушение </w:t>
      </w:r>
      <w:r w:rsidR="00370164" w:rsidRPr="00163A87">
        <w:rPr>
          <w:sz w:val="26"/>
          <w:szCs w:val="26"/>
        </w:rPr>
        <w:t xml:space="preserve"> вырази</w:t>
      </w:r>
      <w:r w:rsidR="00026DB5" w:rsidRPr="00163A87">
        <w:rPr>
          <w:sz w:val="26"/>
          <w:szCs w:val="26"/>
        </w:rPr>
        <w:t>лось</w:t>
      </w:r>
      <w:r w:rsidR="00370164" w:rsidRPr="00163A87">
        <w:rPr>
          <w:sz w:val="26"/>
          <w:szCs w:val="26"/>
        </w:rPr>
        <w:t xml:space="preserve"> в злоупотреблении доминирующим положением путём создания хозяйствующему субъекту  препятствий доступу на товарный рынок услуг по обеспечению бортовым питанием в аэропорту «Рощино»</w:t>
      </w:r>
      <w:r w:rsidR="00C37906" w:rsidRPr="00163A87">
        <w:rPr>
          <w:sz w:val="26"/>
          <w:szCs w:val="26"/>
        </w:rPr>
        <w:t xml:space="preserve">. </w:t>
      </w:r>
    </w:p>
    <w:p w:rsidR="000A00A9" w:rsidRPr="00163A87" w:rsidRDefault="00C37906" w:rsidP="000A00A9">
      <w:pPr>
        <w:spacing w:before="120" w:line="276" w:lineRule="auto"/>
        <w:ind w:firstLine="454"/>
        <w:jc w:val="both"/>
        <w:rPr>
          <w:sz w:val="26"/>
          <w:szCs w:val="26"/>
        </w:rPr>
      </w:pPr>
      <w:r w:rsidRPr="00163A87">
        <w:rPr>
          <w:sz w:val="26"/>
          <w:szCs w:val="26"/>
        </w:rPr>
        <w:t xml:space="preserve">Результатом совершенных Аэропортом действий является </w:t>
      </w:r>
      <w:r w:rsidR="00E36B3C" w:rsidRPr="00163A87">
        <w:rPr>
          <w:sz w:val="26"/>
          <w:szCs w:val="26"/>
        </w:rPr>
        <w:t xml:space="preserve">или </w:t>
      </w:r>
      <w:r w:rsidRPr="00163A87">
        <w:rPr>
          <w:sz w:val="26"/>
          <w:szCs w:val="26"/>
        </w:rPr>
        <w:t xml:space="preserve">может являться ограничение конкуренции и ущемление интересов ООО «Сила вкуса». В связи с чем, </w:t>
      </w:r>
      <w:r w:rsidR="00370164" w:rsidRPr="00163A87">
        <w:rPr>
          <w:sz w:val="26"/>
          <w:szCs w:val="26"/>
        </w:rPr>
        <w:t>АО «Аэропорт «Рощино» было выдано обязательное для исполнения предписание о прекращении злоупотребления доминирующим положением и совершении действий, направленных на обеспечение конкуренции.</w:t>
      </w:r>
      <w:r w:rsidR="000A00A9" w:rsidRPr="00163A87">
        <w:rPr>
          <w:sz w:val="26"/>
          <w:szCs w:val="26"/>
        </w:rPr>
        <w:t xml:space="preserve"> </w:t>
      </w:r>
    </w:p>
    <w:p w:rsidR="0021150F" w:rsidRPr="00163A87" w:rsidRDefault="007F4351" w:rsidP="00AB6684">
      <w:pPr>
        <w:autoSpaceDE w:val="0"/>
        <w:autoSpaceDN w:val="0"/>
        <w:adjustRightInd w:val="0"/>
        <w:spacing w:before="120" w:line="276" w:lineRule="auto"/>
        <w:ind w:firstLine="454"/>
        <w:jc w:val="both"/>
        <w:rPr>
          <w:sz w:val="26"/>
          <w:szCs w:val="26"/>
        </w:rPr>
      </w:pPr>
      <w:r w:rsidRPr="00163A87">
        <w:rPr>
          <w:sz w:val="26"/>
          <w:szCs w:val="26"/>
        </w:rPr>
        <w:t>АО «Аэропорт «Рощино»</w:t>
      </w:r>
      <w:r w:rsidR="0021150F" w:rsidRPr="00163A87">
        <w:rPr>
          <w:sz w:val="26"/>
          <w:szCs w:val="26"/>
        </w:rPr>
        <w:t xml:space="preserve"> </w:t>
      </w:r>
      <w:r w:rsidRPr="00163A87">
        <w:rPr>
          <w:sz w:val="26"/>
          <w:szCs w:val="26"/>
        </w:rPr>
        <w:t>за</w:t>
      </w:r>
      <w:r w:rsidR="0021150F" w:rsidRPr="00163A87">
        <w:rPr>
          <w:sz w:val="26"/>
          <w:szCs w:val="26"/>
        </w:rPr>
        <w:t xml:space="preserve"> злоупотребление доминирующим положением привлечено к административной ответственности. Размер оборотного штрафа</w:t>
      </w:r>
      <w:r w:rsidR="003917CF" w:rsidRPr="00163A87">
        <w:rPr>
          <w:sz w:val="26"/>
          <w:szCs w:val="26"/>
        </w:rPr>
        <w:t xml:space="preserve"> (рассчитанного с учётом полученной выручки)</w:t>
      </w:r>
      <w:r w:rsidR="0021150F" w:rsidRPr="00163A87">
        <w:rPr>
          <w:sz w:val="26"/>
          <w:szCs w:val="26"/>
        </w:rPr>
        <w:t>, наложенного на субъект естественной монополии</w:t>
      </w:r>
      <w:r w:rsidR="00056900" w:rsidRPr="00163A87">
        <w:rPr>
          <w:sz w:val="26"/>
          <w:szCs w:val="26"/>
        </w:rPr>
        <w:t>,</w:t>
      </w:r>
      <w:r w:rsidR="0021150F" w:rsidRPr="00163A87">
        <w:rPr>
          <w:sz w:val="26"/>
          <w:szCs w:val="26"/>
        </w:rPr>
        <w:t xml:space="preserve"> составил </w:t>
      </w:r>
      <w:r w:rsidR="0021150F" w:rsidRPr="00163A87">
        <w:rPr>
          <w:b/>
          <w:sz w:val="26"/>
          <w:szCs w:val="26"/>
        </w:rPr>
        <w:t>3</w:t>
      </w:r>
      <w:r w:rsidR="00056900" w:rsidRPr="00163A87">
        <w:rPr>
          <w:b/>
          <w:sz w:val="26"/>
          <w:szCs w:val="26"/>
        </w:rPr>
        <w:t>,</w:t>
      </w:r>
      <w:r w:rsidR="0021150F" w:rsidRPr="00163A87">
        <w:rPr>
          <w:b/>
          <w:sz w:val="26"/>
          <w:szCs w:val="26"/>
        </w:rPr>
        <w:t>8</w:t>
      </w:r>
      <w:r w:rsidR="00056900" w:rsidRPr="00163A87">
        <w:rPr>
          <w:b/>
          <w:sz w:val="26"/>
          <w:szCs w:val="26"/>
        </w:rPr>
        <w:t xml:space="preserve"> млн. </w:t>
      </w:r>
      <w:r w:rsidR="0021150F" w:rsidRPr="00163A87">
        <w:rPr>
          <w:b/>
          <w:sz w:val="26"/>
          <w:szCs w:val="26"/>
        </w:rPr>
        <w:t>рублей.</w:t>
      </w:r>
      <w:r w:rsidR="00056900" w:rsidRPr="00163A87">
        <w:rPr>
          <w:sz w:val="26"/>
          <w:szCs w:val="26"/>
        </w:rPr>
        <w:t xml:space="preserve"> К административной ответственности </w:t>
      </w:r>
      <w:r w:rsidRPr="00163A87">
        <w:rPr>
          <w:sz w:val="26"/>
          <w:szCs w:val="26"/>
        </w:rPr>
        <w:t xml:space="preserve">за нарушение антимонопольного закона </w:t>
      </w:r>
      <w:r w:rsidR="00056900" w:rsidRPr="00163A87">
        <w:rPr>
          <w:sz w:val="26"/>
          <w:szCs w:val="26"/>
        </w:rPr>
        <w:t xml:space="preserve">привлечён </w:t>
      </w:r>
      <w:r w:rsidR="00631023">
        <w:rPr>
          <w:sz w:val="26"/>
          <w:szCs w:val="26"/>
        </w:rPr>
        <w:t xml:space="preserve">также </w:t>
      </w:r>
      <w:r w:rsidR="00056900" w:rsidRPr="00163A87">
        <w:rPr>
          <w:sz w:val="26"/>
          <w:szCs w:val="26"/>
        </w:rPr>
        <w:t>и генеральный директор Общества</w:t>
      </w:r>
      <w:r w:rsidR="00631023">
        <w:rPr>
          <w:sz w:val="26"/>
          <w:szCs w:val="26"/>
        </w:rPr>
        <w:t>.</w:t>
      </w:r>
      <w:r w:rsidR="00866BFF">
        <w:rPr>
          <w:sz w:val="26"/>
          <w:szCs w:val="26"/>
        </w:rPr>
        <w:t xml:space="preserve"> </w:t>
      </w:r>
      <w:r w:rsidR="00631023">
        <w:rPr>
          <w:sz w:val="26"/>
          <w:szCs w:val="26"/>
        </w:rPr>
        <w:t xml:space="preserve">Сумма наложенного на должностное лицо штрафа составила </w:t>
      </w:r>
      <w:r w:rsidR="00866BFF" w:rsidRPr="00866BFF">
        <w:rPr>
          <w:b/>
          <w:sz w:val="26"/>
          <w:szCs w:val="26"/>
        </w:rPr>
        <w:t xml:space="preserve">20 тыс. </w:t>
      </w:r>
      <w:r w:rsidR="00866BFF" w:rsidRPr="00866BFF">
        <w:rPr>
          <w:sz w:val="26"/>
          <w:szCs w:val="26"/>
        </w:rPr>
        <w:t>рублей.</w:t>
      </w:r>
    </w:p>
    <w:p w:rsidR="00B92DE6" w:rsidRPr="00FF7386" w:rsidRDefault="00DA5E0A" w:rsidP="003917CF">
      <w:pPr>
        <w:spacing w:before="120" w:line="276" w:lineRule="auto"/>
        <w:ind w:firstLine="454"/>
        <w:jc w:val="both"/>
        <w:rPr>
          <w:sz w:val="26"/>
          <w:szCs w:val="26"/>
        </w:rPr>
      </w:pPr>
      <w:r>
        <w:rPr>
          <w:sz w:val="26"/>
          <w:szCs w:val="26"/>
        </w:rPr>
        <w:t xml:space="preserve"> Таким образом, результат</w:t>
      </w:r>
      <w:r w:rsidR="00B92DE6">
        <w:rPr>
          <w:sz w:val="26"/>
          <w:szCs w:val="26"/>
        </w:rPr>
        <w:t>ом</w:t>
      </w:r>
      <w:r>
        <w:rPr>
          <w:sz w:val="26"/>
          <w:szCs w:val="26"/>
        </w:rPr>
        <w:t xml:space="preserve"> работы Тюменского УФАС России в </w:t>
      </w:r>
      <w:r w:rsidR="00D9258A">
        <w:rPr>
          <w:sz w:val="26"/>
          <w:szCs w:val="26"/>
        </w:rPr>
        <w:t>первом полугодии текущего года</w:t>
      </w:r>
      <w:r>
        <w:rPr>
          <w:sz w:val="26"/>
          <w:szCs w:val="26"/>
        </w:rPr>
        <w:t xml:space="preserve"> </w:t>
      </w:r>
      <w:r w:rsidR="00B92DE6">
        <w:rPr>
          <w:sz w:val="26"/>
          <w:szCs w:val="26"/>
        </w:rPr>
        <w:t xml:space="preserve">является </w:t>
      </w:r>
      <w:r w:rsidRPr="00FF7386">
        <w:rPr>
          <w:sz w:val="26"/>
          <w:szCs w:val="26"/>
        </w:rPr>
        <w:t>выявлен</w:t>
      </w:r>
      <w:r w:rsidR="00B92DE6" w:rsidRPr="00FF7386">
        <w:rPr>
          <w:sz w:val="26"/>
          <w:szCs w:val="26"/>
        </w:rPr>
        <w:t>ие</w:t>
      </w:r>
      <w:r w:rsidRPr="00FF7386">
        <w:rPr>
          <w:sz w:val="26"/>
          <w:szCs w:val="26"/>
        </w:rPr>
        <w:t xml:space="preserve"> нарушения антимонопольного законодательства </w:t>
      </w:r>
      <w:r w:rsidR="00B92DE6" w:rsidRPr="00FF7386">
        <w:rPr>
          <w:sz w:val="26"/>
          <w:szCs w:val="26"/>
        </w:rPr>
        <w:t xml:space="preserve">совершенных доминирующими хозяйствующими субъектами </w:t>
      </w:r>
      <w:r w:rsidRPr="00FF7386">
        <w:rPr>
          <w:sz w:val="26"/>
          <w:szCs w:val="26"/>
        </w:rPr>
        <w:t xml:space="preserve">на </w:t>
      </w:r>
      <w:r w:rsidR="00B92DE6" w:rsidRPr="00FF7386">
        <w:rPr>
          <w:sz w:val="26"/>
          <w:szCs w:val="26"/>
        </w:rPr>
        <w:t>товарных рынках</w:t>
      </w:r>
      <w:r w:rsidR="00FF7386" w:rsidRPr="00FF7386">
        <w:rPr>
          <w:sz w:val="26"/>
          <w:szCs w:val="26"/>
        </w:rPr>
        <w:t>, осуществляющих деятельность в сфере газоснабжения, ж</w:t>
      </w:r>
      <w:r w:rsidR="00B92DE6" w:rsidRPr="00FF7386">
        <w:rPr>
          <w:sz w:val="26"/>
          <w:szCs w:val="26"/>
        </w:rPr>
        <w:t xml:space="preserve">елезнодорожных перевозок, услуг автовокзалов и аэропортов. </w:t>
      </w:r>
    </w:p>
    <w:p w:rsidR="00910CBA" w:rsidRDefault="00D9258A" w:rsidP="00D9258A">
      <w:pPr>
        <w:spacing w:before="120" w:line="276" w:lineRule="auto"/>
        <w:ind w:firstLine="454"/>
        <w:jc w:val="both"/>
        <w:rPr>
          <w:sz w:val="26"/>
          <w:szCs w:val="26"/>
        </w:rPr>
      </w:pPr>
      <w:r w:rsidRPr="00163A87">
        <w:rPr>
          <w:sz w:val="26"/>
          <w:szCs w:val="26"/>
        </w:rPr>
        <w:t xml:space="preserve">Необходимо отметить, что количество </w:t>
      </w:r>
      <w:r>
        <w:rPr>
          <w:sz w:val="26"/>
          <w:szCs w:val="26"/>
        </w:rPr>
        <w:t>выявляемых Управлением н</w:t>
      </w:r>
      <w:r w:rsidRPr="00163A87">
        <w:rPr>
          <w:sz w:val="26"/>
          <w:szCs w:val="26"/>
        </w:rPr>
        <w:t>арушений статьи 10 Закона о защите конкуренции</w:t>
      </w:r>
      <w:r>
        <w:rPr>
          <w:sz w:val="26"/>
          <w:szCs w:val="26"/>
        </w:rPr>
        <w:t xml:space="preserve"> в течение последних трёх </w:t>
      </w:r>
      <w:r w:rsidR="00910CBA">
        <w:rPr>
          <w:sz w:val="26"/>
          <w:szCs w:val="26"/>
        </w:rPr>
        <w:t xml:space="preserve">лет </w:t>
      </w:r>
      <w:r>
        <w:rPr>
          <w:sz w:val="26"/>
          <w:szCs w:val="26"/>
        </w:rPr>
        <w:t xml:space="preserve">имеет тенденцию к снижению. Во многом это объясняется </w:t>
      </w:r>
      <w:r w:rsidRPr="00163A87">
        <w:rPr>
          <w:sz w:val="26"/>
          <w:szCs w:val="26"/>
        </w:rPr>
        <w:t xml:space="preserve">вступлением в силу изменений, внесённых в Закон о защите конкуренции, исключающих с начала 2016 года возможность квалификации нарушения по статье 10 </w:t>
      </w:r>
      <w:r>
        <w:rPr>
          <w:sz w:val="26"/>
          <w:szCs w:val="26"/>
        </w:rPr>
        <w:t xml:space="preserve">Закона о защите конкуренции </w:t>
      </w:r>
      <w:r w:rsidRPr="00163A87">
        <w:rPr>
          <w:sz w:val="26"/>
          <w:szCs w:val="26"/>
        </w:rPr>
        <w:t>в отношении физических лиц (кроме неопределённого круга потребителей)</w:t>
      </w:r>
      <w:proofErr w:type="gramStart"/>
      <w:r w:rsidR="00910CBA">
        <w:rPr>
          <w:sz w:val="26"/>
          <w:szCs w:val="26"/>
        </w:rPr>
        <w:t>.</w:t>
      </w:r>
      <w:proofErr w:type="gramEnd"/>
      <w:r w:rsidR="00910CBA">
        <w:rPr>
          <w:sz w:val="26"/>
          <w:szCs w:val="26"/>
        </w:rPr>
        <w:t xml:space="preserve"> Соответственно</w:t>
      </w:r>
      <w:r w:rsidRPr="00163A87">
        <w:rPr>
          <w:sz w:val="26"/>
          <w:szCs w:val="26"/>
        </w:rPr>
        <w:t xml:space="preserve"> </w:t>
      </w:r>
      <w:r w:rsidR="00910CBA">
        <w:rPr>
          <w:sz w:val="26"/>
          <w:szCs w:val="26"/>
        </w:rPr>
        <w:t xml:space="preserve">возможность привлечения поставщиков коммунальных услуг к ответственности за ущемление интересов потребителей </w:t>
      </w:r>
      <w:proofErr w:type="gramStart"/>
      <w:r w:rsidR="00910CBA">
        <w:rPr>
          <w:sz w:val="26"/>
          <w:szCs w:val="26"/>
        </w:rPr>
        <w:t xml:space="preserve">( </w:t>
      </w:r>
      <w:proofErr w:type="gramEnd"/>
      <w:r w:rsidR="00910CBA">
        <w:rPr>
          <w:sz w:val="26"/>
          <w:szCs w:val="26"/>
        </w:rPr>
        <w:t>граждан) отсутствует, что снижает количество выявляемых управлением правонарушений.</w:t>
      </w:r>
    </w:p>
    <w:p w:rsidR="00D9258A" w:rsidRPr="00163A87" w:rsidRDefault="00D9258A" w:rsidP="00D9258A">
      <w:pPr>
        <w:spacing w:before="120" w:line="276" w:lineRule="auto"/>
        <w:ind w:firstLine="454"/>
        <w:jc w:val="both"/>
        <w:rPr>
          <w:sz w:val="26"/>
          <w:szCs w:val="26"/>
        </w:rPr>
      </w:pPr>
      <w:r w:rsidRPr="00163A87">
        <w:rPr>
          <w:sz w:val="26"/>
          <w:szCs w:val="26"/>
        </w:rPr>
        <w:t xml:space="preserve">Применяемый антимонопольным органом институт предупреждений, направленный на устранения нарушения антимонопольных запретов со стороны доминирующих хозяйствующих субъектами, также </w:t>
      </w:r>
      <w:r w:rsidR="00910CBA">
        <w:rPr>
          <w:sz w:val="26"/>
          <w:szCs w:val="26"/>
        </w:rPr>
        <w:t xml:space="preserve">является снижающим </w:t>
      </w:r>
      <w:proofErr w:type="gramStart"/>
      <w:r w:rsidR="00910CBA">
        <w:rPr>
          <w:sz w:val="26"/>
          <w:szCs w:val="26"/>
        </w:rPr>
        <w:t>фактором</w:t>
      </w:r>
      <w:proofErr w:type="gramEnd"/>
      <w:r w:rsidR="00910CBA">
        <w:rPr>
          <w:sz w:val="26"/>
          <w:szCs w:val="26"/>
        </w:rPr>
        <w:t xml:space="preserve"> </w:t>
      </w:r>
      <w:r w:rsidR="00103848">
        <w:rPr>
          <w:sz w:val="26"/>
          <w:szCs w:val="26"/>
        </w:rPr>
        <w:t xml:space="preserve">влияющим на </w:t>
      </w:r>
      <w:r w:rsidRPr="00163A87">
        <w:rPr>
          <w:sz w:val="26"/>
          <w:szCs w:val="26"/>
        </w:rPr>
        <w:t xml:space="preserve"> </w:t>
      </w:r>
      <w:r w:rsidR="00103848">
        <w:rPr>
          <w:sz w:val="26"/>
          <w:szCs w:val="26"/>
        </w:rPr>
        <w:t xml:space="preserve">количество </w:t>
      </w:r>
      <w:r w:rsidRPr="00163A87">
        <w:rPr>
          <w:sz w:val="26"/>
          <w:szCs w:val="26"/>
        </w:rPr>
        <w:t xml:space="preserve">возбуждаемых управлением дел. </w:t>
      </w:r>
    </w:p>
    <w:p w:rsidR="00103848" w:rsidRDefault="00103848" w:rsidP="00D9258A">
      <w:pPr>
        <w:spacing w:line="276" w:lineRule="auto"/>
        <w:ind w:firstLine="720"/>
        <w:jc w:val="both"/>
        <w:rPr>
          <w:sz w:val="26"/>
          <w:szCs w:val="26"/>
        </w:rPr>
      </w:pPr>
      <w:r>
        <w:rPr>
          <w:sz w:val="26"/>
          <w:szCs w:val="26"/>
        </w:rPr>
        <w:t>Снижение количества дел о нарушении антимонопольных запретов со стороны субъектов естественной монополии, оказывающих услуги в сфере электроснабжения и водоснабжения (водоотведения), связано с тем, что, что правоотношения в данной между поставщиком и потребителем сфере регулируются соответствующими Правилам, устанавливающими порядок (процесс) подключения и порядок доступа к сетям</w:t>
      </w:r>
      <w:proofErr w:type="gramStart"/>
      <w:r>
        <w:rPr>
          <w:sz w:val="26"/>
          <w:szCs w:val="26"/>
        </w:rPr>
        <w:t>.</w:t>
      </w:r>
      <w:proofErr w:type="gramEnd"/>
      <w:r>
        <w:rPr>
          <w:sz w:val="26"/>
          <w:szCs w:val="26"/>
        </w:rPr>
        <w:t xml:space="preserve"> Нарушение установленного Порядка влечёт для субъектов естественной монополии административную ответственность, при этом дело о нарушении по статье 10 Закона о защите конкуренции не возбуждается.</w:t>
      </w:r>
    </w:p>
    <w:p w:rsidR="00D9258A" w:rsidRDefault="00103848" w:rsidP="00D9258A">
      <w:pPr>
        <w:spacing w:line="276" w:lineRule="auto"/>
        <w:ind w:firstLine="720"/>
        <w:jc w:val="both"/>
        <w:rPr>
          <w:sz w:val="26"/>
          <w:szCs w:val="26"/>
        </w:rPr>
      </w:pPr>
      <w:r>
        <w:rPr>
          <w:sz w:val="26"/>
          <w:szCs w:val="26"/>
        </w:rPr>
        <w:t xml:space="preserve">  Кроме того, о</w:t>
      </w:r>
      <w:r w:rsidR="00D9258A">
        <w:rPr>
          <w:sz w:val="26"/>
          <w:szCs w:val="26"/>
        </w:rPr>
        <w:t>чевидно, что хозяйствующие субъекты, в основном это субъекты естественной монополии, учитывают имеющуюся антимонопольную и судебную практику прошлых лет и осуществляют деятельность, не допуская нарушение Закона о защите конкуренции.</w:t>
      </w:r>
    </w:p>
    <w:p w:rsidR="003917CF" w:rsidRPr="00FF7386" w:rsidRDefault="00DA5E0A" w:rsidP="003917CF">
      <w:pPr>
        <w:spacing w:before="120" w:line="276" w:lineRule="auto"/>
        <w:ind w:firstLine="454"/>
        <w:jc w:val="both"/>
        <w:rPr>
          <w:sz w:val="26"/>
          <w:szCs w:val="26"/>
        </w:rPr>
      </w:pPr>
      <w:r>
        <w:rPr>
          <w:sz w:val="26"/>
          <w:szCs w:val="26"/>
        </w:rPr>
        <w:t>Х</w:t>
      </w:r>
      <w:r w:rsidRPr="00163A87">
        <w:rPr>
          <w:sz w:val="26"/>
          <w:szCs w:val="26"/>
        </w:rPr>
        <w:t>озяйствующим субъектам, занимающими доминирующее положение, в том числе субъект</w:t>
      </w:r>
      <w:r>
        <w:rPr>
          <w:sz w:val="26"/>
          <w:szCs w:val="26"/>
        </w:rPr>
        <w:t>ам</w:t>
      </w:r>
      <w:r w:rsidRPr="00163A87">
        <w:rPr>
          <w:sz w:val="26"/>
          <w:szCs w:val="26"/>
        </w:rPr>
        <w:t xml:space="preserve"> естественной монополии </w:t>
      </w:r>
      <w:r>
        <w:rPr>
          <w:sz w:val="26"/>
          <w:szCs w:val="26"/>
        </w:rPr>
        <w:t>при осуществлении деятельности на рынке</w:t>
      </w:r>
      <w:r w:rsidR="00D9258A">
        <w:rPr>
          <w:sz w:val="26"/>
          <w:szCs w:val="26"/>
        </w:rPr>
        <w:t>,</w:t>
      </w:r>
      <w:r>
        <w:rPr>
          <w:sz w:val="26"/>
          <w:szCs w:val="26"/>
        </w:rPr>
        <w:t xml:space="preserve"> </w:t>
      </w:r>
      <w:r w:rsidR="00103848">
        <w:rPr>
          <w:sz w:val="26"/>
          <w:szCs w:val="26"/>
        </w:rPr>
        <w:t>вероятно,</w:t>
      </w:r>
      <w:r w:rsidR="00D9258A">
        <w:rPr>
          <w:sz w:val="26"/>
          <w:szCs w:val="26"/>
        </w:rPr>
        <w:t xml:space="preserve"> также учитывается и то, что</w:t>
      </w:r>
      <w:r w:rsidR="003917CF" w:rsidRPr="00163A87">
        <w:rPr>
          <w:sz w:val="26"/>
          <w:szCs w:val="26"/>
        </w:rPr>
        <w:t xml:space="preserve"> з</w:t>
      </w:r>
      <w:r w:rsidR="00AC6986" w:rsidRPr="00163A87">
        <w:rPr>
          <w:sz w:val="26"/>
          <w:szCs w:val="26"/>
        </w:rPr>
        <w:t xml:space="preserve">а нарушение антимонопольных запретов, </w:t>
      </w:r>
      <w:r w:rsidR="00AC6986" w:rsidRPr="00FF7386">
        <w:rPr>
          <w:sz w:val="26"/>
          <w:szCs w:val="26"/>
        </w:rPr>
        <w:t xml:space="preserve">установлена </w:t>
      </w:r>
      <w:r w:rsidR="009D05CD" w:rsidRPr="00FF7386">
        <w:rPr>
          <w:sz w:val="26"/>
          <w:szCs w:val="26"/>
        </w:rPr>
        <w:t xml:space="preserve">серьёзная </w:t>
      </w:r>
      <w:r w:rsidR="00AC6986" w:rsidRPr="00FF7386">
        <w:rPr>
          <w:sz w:val="26"/>
          <w:szCs w:val="26"/>
        </w:rPr>
        <w:t xml:space="preserve">административная ответственность. </w:t>
      </w:r>
    </w:p>
    <w:p w:rsidR="002018B4" w:rsidRPr="00163A87" w:rsidRDefault="002018B4" w:rsidP="00344CBD">
      <w:pPr>
        <w:spacing w:before="120" w:line="276" w:lineRule="auto"/>
        <w:ind w:firstLine="454"/>
        <w:jc w:val="both"/>
        <w:rPr>
          <w:sz w:val="26"/>
          <w:szCs w:val="26"/>
        </w:rPr>
      </w:pPr>
    </w:p>
    <w:p w:rsidR="007649FB" w:rsidRPr="00030EF2" w:rsidRDefault="007649FB" w:rsidP="007649FB">
      <w:pPr>
        <w:jc w:val="center"/>
        <w:rPr>
          <w:i/>
          <w:sz w:val="26"/>
          <w:szCs w:val="26"/>
        </w:rPr>
      </w:pPr>
      <w:r w:rsidRPr="00030EF2">
        <w:rPr>
          <w:i/>
          <w:sz w:val="26"/>
          <w:szCs w:val="26"/>
        </w:rPr>
        <w:t>Пресечение заключения ограничивающих конкуренцию соглашений:</w:t>
      </w:r>
    </w:p>
    <w:p w:rsidR="00030EF2" w:rsidRDefault="007649FB" w:rsidP="007649FB">
      <w:pPr>
        <w:widowControl w:val="0"/>
        <w:jc w:val="center"/>
        <w:rPr>
          <w:i/>
          <w:sz w:val="26"/>
          <w:szCs w:val="26"/>
        </w:rPr>
      </w:pPr>
      <w:r w:rsidRPr="00030EF2">
        <w:rPr>
          <w:i/>
          <w:sz w:val="26"/>
          <w:szCs w:val="26"/>
        </w:rPr>
        <w:t>п</w:t>
      </w:r>
      <w:r w:rsidR="00EC102A" w:rsidRPr="00030EF2">
        <w:rPr>
          <w:i/>
          <w:sz w:val="26"/>
          <w:szCs w:val="26"/>
        </w:rPr>
        <w:t xml:space="preserve">рактика </w:t>
      </w:r>
      <w:r w:rsidRPr="00030EF2">
        <w:rPr>
          <w:i/>
          <w:sz w:val="26"/>
          <w:szCs w:val="26"/>
        </w:rPr>
        <w:t>применения</w:t>
      </w:r>
      <w:r w:rsidR="00EC102A" w:rsidRPr="00030EF2">
        <w:rPr>
          <w:i/>
          <w:sz w:val="26"/>
          <w:szCs w:val="26"/>
        </w:rPr>
        <w:t xml:space="preserve"> стать</w:t>
      </w:r>
      <w:r w:rsidRPr="00030EF2">
        <w:rPr>
          <w:i/>
          <w:sz w:val="26"/>
          <w:szCs w:val="26"/>
        </w:rPr>
        <w:t>и</w:t>
      </w:r>
      <w:r w:rsidR="00EC102A" w:rsidRPr="00030EF2">
        <w:rPr>
          <w:i/>
          <w:sz w:val="26"/>
          <w:szCs w:val="26"/>
        </w:rPr>
        <w:t xml:space="preserve"> 11 Закона о защите конкуренции</w:t>
      </w:r>
      <w:r w:rsidRPr="00030EF2">
        <w:rPr>
          <w:i/>
          <w:sz w:val="26"/>
          <w:szCs w:val="26"/>
        </w:rPr>
        <w:t xml:space="preserve"> </w:t>
      </w:r>
    </w:p>
    <w:p w:rsidR="00EC102A" w:rsidRDefault="007649FB" w:rsidP="007649FB">
      <w:pPr>
        <w:widowControl w:val="0"/>
        <w:jc w:val="center"/>
        <w:rPr>
          <w:i/>
          <w:sz w:val="26"/>
          <w:szCs w:val="26"/>
        </w:rPr>
      </w:pPr>
      <w:r w:rsidRPr="00030EF2">
        <w:rPr>
          <w:i/>
          <w:sz w:val="26"/>
          <w:szCs w:val="26"/>
        </w:rPr>
        <w:t xml:space="preserve">в </w:t>
      </w:r>
      <w:r w:rsidR="00030EF2">
        <w:rPr>
          <w:i/>
          <w:sz w:val="26"/>
          <w:szCs w:val="26"/>
        </w:rPr>
        <w:t xml:space="preserve">первом полугодии </w:t>
      </w:r>
      <w:r w:rsidRPr="00030EF2">
        <w:rPr>
          <w:i/>
          <w:sz w:val="26"/>
          <w:szCs w:val="26"/>
        </w:rPr>
        <w:t>201</w:t>
      </w:r>
      <w:r w:rsidR="00030EF2">
        <w:rPr>
          <w:i/>
          <w:sz w:val="26"/>
          <w:szCs w:val="26"/>
        </w:rPr>
        <w:t>8</w:t>
      </w:r>
      <w:r w:rsidRPr="00030EF2">
        <w:rPr>
          <w:i/>
          <w:sz w:val="26"/>
          <w:szCs w:val="26"/>
        </w:rPr>
        <w:t xml:space="preserve"> год</w:t>
      </w:r>
      <w:r w:rsidR="00030EF2">
        <w:rPr>
          <w:i/>
          <w:sz w:val="26"/>
          <w:szCs w:val="26"/>
        </w:rPr>
        <w:t>а</w:t>
      </w:r>
    </w:p>
    <w:p w:rsidR="00030EF2" w:rsidRPr="00030EF2" w:rsidRDefault="00030EF2" w:rsidP="007649FB">
      <w:pPr>
        <w:widowControl w:val="0"/>
        <w:jc w:val="center"/>
        <w:rPr>
          <w:i/>
          <w:sz w:val="26"/>
          <w:szCs w:val="26"/>
        </w:rPr>
      </w:pPr>
    </w:p>
    <w:p w:rsidR="0013676F" w:rsidRPr="00163A87" w:rsidRDefault="0013676F" w:rsidP="00344CBD">
      <w:pPr>
        <w:spacing w:before="120" w:line="276" w:lineRule="auto"/>
        <w:ind w:firstLine="454"/>
        <w:jc w:val="both"/>
        <w:rPr>
          <w:sz w:val="26"/>
          <w:szCs w:val="26"/>
        </w:rPr>
      </w:pPr>
      <w:r w:rsidRPr="00163A87">
        <w:rPr>
          <w:sz w:val="26"/>
          <w:szCs w:val="26"/>
        </w:rPr>
        <w:t xml:space="preserve">В статье 11 Федерального закона «О защите конкуренции» установлены запреты для хозяйствующих субъектов на заключение соглашений, ограничивающих конкуренцию соглашений. </w:t>
      </w:r>
    </w:p>
    <w:p w:rsidR="00DC0814" w:rsidRPr="00163A87" w:rsidRDefault="00DC0814" w:rsidP="00B92DE6">
      <w:pPr>
        <w:pStyle w:val="ConsPlusNormal0"/>
        <w:spacing w:line="276" w:lineRule="auto"/>
        <w:ind w:firstLine="567"/>
        <w:jc w:val="both"/>
        <w:rPr>
          <w:rFonts w:ascii="Times New Roman" w:hAnsi="Times New Roman" w:cs="Times New Roman"/>
          <w:sz w:val="26"/>
          <w:szCs w:val="26"/>
        </w:rPr>
      </w:pPr>
      <w:proofErr w:type="gramStart"/>
      <w:r w:rsidRPr="00163A87">
        <w:rPr>
          <w:rFonts w:ascii="Times New Roman" w:hAnsi="Times New Roman" w:cs="Times New Roman"/>
          <w:sz w:val="26"/>
          <w:szCs w:val="26"/>
        </w:rPr>
        <w:t>В соответствии с п. 2 ч. 1 ст. 11 Закона о защите конкуренции,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 повышению, снижению или поддержанию цен на торгах.</w:t>
      </w:r>
      <w:proofErr w:type="gramEnd"/>
    </w:p>
    <w:p w:rsidR="00FB5F77" w:rsidRPr="00163A87" w:rsidRDefault="00F97E69" w:rsidP="00344CBD">
      <w:pPr>
        <w:spacing w:before="120" w:line="276" w:lineRule="auto"/>
        <w:ind w:firstLine="454"/>
        <w:jc w:val="both"/>
        <w:rPr>
          <w:sz w:val="26"/>
          <w:szCs w:val="26"/>
        </w:rPr>
      </w:pPr>
      <w:r w:rsidRPr="00163A87">
        <w:rPr>
          <w:sz w:val="26"/>
          <w:szCs w:val="26"/>
        </w:rPr>
        <w:t xml:space="preserve">В связи с особой социальной важностью, </w:t>
      </w:r>
      <w:r w:rsidR="0013676F" w:rsidRPr="00163A87">
        <w:rPr>
          <w:sz w:val="26"/>
          <w:szCs w:val="26"/>
        </w:rPr>
        <w:t xml:space="preserve">антимонопольным управлением </w:t>
      </w:r>
      <w:r w:rsidR="001D7013" w:rsidRPr="00163A87">
        <w:rPr>
          <w:sz w:val="26"/>
          <w:szCs w:val="26"/>
        </w:rPr>
        <w:t xml:space="preserve">уделяется </w:t>
      </w:r>
      <w:r w:rsidR="0013676F" w:rsidRPr="00163A87">
        <w:rPr>
          <w:sz w:val="26"/>
          <w:szCs w:val="26"/>
        </w:rPr>
        <w:t>особое внимание работе, связанной с выявление и пресечение картельных соглашений, заключаемых участниками  торгов (электронных аукционов).</w:t>
      </w:r>
      <w:r w:rsidRPr="00163A87">
        <w:rPr>
          <w:sz w:val="26"/>
          <w:szCs w:val="26"/>
        </w:rPr>
        <w:t xml:space="preserve">  </w:t>
      </w:r>
    </w:p>
    <w:p w:rsidR="0013676F" w:rsidRPr="00163A87" w:rsidRDefault="00F97E69" w:rsidP="00B45756">
      <w:pPr>
        <w:spacing w:before="120" w:line="276" w:lineRule="auto"/>
        <w:ind w:firstLine="454"/>
        <w:jc w:val="both"/>
        <w:rPr>
          <w:sz w:val="26"/>
          <w:szCs w:val="26"/>
        </w:rPr>
      </w:pPr>
      <w:r w:rsidRPr="00163A87">
        <w:rPr>
          <w:sz w:val="26"/>
          <w:szCs w:val="26"/>
        </w:rPr>
        <w:t>Выявление нарушений</w:t>
      </w:r>
      <w:r w:rsidR="0013676F" w:rsidRPr="00163A87">
        <w:rPr>
          <w:sz w:val="26"/>
          <w:szCs w:val="26"/>
        </w:rPr>
        <w:t xml:space="preserve"> ст</w:t>
      </w:r>
      <w:r w:rsidRPr="00163A87">
        <w:rPr>
          <w:sz w:val="26"/>
          <w:szCs w:val="26"/>
        </w:rPr>
        <w:t xml:space="preserve">атьи </w:t>
      </w:r>
      <w:r w:rsidR="0013676F" w:rsidRPr="00163A87">
        <w:rPr>
          <w:sz w:val="26"/>
          <w:szCs w:val="26"/>
        </w:rPr>
        <w:t>11 Федерального зак</w:t>
      </w:r>
      <w:r w:rsidR="001D7013" w:rsidRPr="00163A87">
        <w:rPr>
          <w:sz w:val="26"/>
          <w:szCs w:val="26"/>
        </w:rPr>
        <w:t xml:space="preserve">она «О защите конкуренции» </w:t>
      </w:r>
      <w:r w:rsidRPr="00163A87">
        <w:rPr>
          <w:sz w:val="26"/>
          <w:szCs w:val="26"/>
        </w:rPr>
        <w:t xml:space="preserve">в </w:t>
      </w:r>
      <w:r w:rsidR="001D7013" w:rsidRPr="00163A87">
        <w:rPr>
          <w:sz w:val="26"/>
          <w:szCs w:val="26"/>
        </w:rPr>
        <w:t>201</w:t>
      </w:r>
      <w:r w:rsidR="00B75CF6">
        <w:rPr>
          <w:sz w:val="26"/>
          <w:szCs w:val="26"/>
        </w:rPr>
        <w:t>8</w:t>
      </w:r>
      <w:r w:rsidR="001D7013" w:rsidRPr="00163A87">
        <w:rPr>
          <w:sz w:val="26"/>
          <w:szCs w:val="26"/>
        </w:rPr>
        <w:t xml:space="preserve"> году</w:t>
      </w:r>
      <w:r w:rsidRPr="00163A87">
        <w:rPr>
          <w:sz w:val="26"/>
          <w:szCs w:val="26"/>
        </w:rPr>
        <w:t xml:space="preserve"> </w:t>
      </w:r>
      <w:r w:rsidR="00B75CF6">
        <w:rPr>
          <w:sz w:val="26"/>
          <w:szCs w:val="26"/>
        </w:rPr>
        <w:t>остаётся</w:t>
      </w:r>
      <w:r w:rsidR="00FB5F77" w:rsidRPr="00163A87">
        <w:rPr>
          <w:sz w:val="26"/>
          <w:szCs w:val="26"/>
        </w:rPr>
        <w:t xml:space="preserve"> </w:t>
      </w:r>
      <w:r w:rsidR="0013676F" w:rsidRPr="00163A87">
        <w:rPr>
          <w:sz w:val="26"/>
          <w:szCs w:val="26"/>
        </w:rPr>
        <w:t>приоритетны</w:t>
      </w:r>
      <w:r w:rsidR="001D7013" w:rsidRPr="00163A87">
        <w:rPr>
          <w:sz w:val="26"/>
          <w:szCs w:val="26"/>
        </w:rPr>
        <w:t>м</w:t>
      </w:r>
      <w:r w:rsidR="0013676F" w:rsidRPr="00163A87">
        <w:rPr>
          <w:sz w:val="26"/>
          <w:szCs w:val="26"/>
        </w:rPr>
        <w:t xml:space="preserve"> направлени</w:t>
      </w:r>
      <w:r w:rsidR="001D7013" w:rsidRPr="00163A87">
        <w:rPr>
          <w:sz w:val="26"/>
          <w:szCs w:val="26"/>
        </w:rPr>
        <w:t xml:space="preserve">ем </w:t>
      </w:r>
      <w:r w:rsidR="0013676F" w:rsidRPr="00163A87">
        <w:rPr>
          <w:sz w:val="26"/>
          <w:szCs w:val="26"/>
        </w:rPr>
        <w:t>детальности Управления.</w:t>
      </w:r>
    </w:p>
    <w:p w:rsidR="00B45756" w:rsidRDefault="00B45756" w:rsidP="00B45756">
      <w:pPr>
        <w:spacing w:line="276" w:lineRule="auto"/>
        <w:ind w:firstLine="708"/>
        <w:jc w:val="both"/>
        <w:rPr>
          <w:sz w:val="26"/>
          <w:szCs w:val="26"/>
        </w:rPr>
      </w:pPr>
      <w:r>
        <w:rPr>
          <w:sz w:val="26"/>
          <w:szCs w:val="26"/>
        </w:rPr>
        <w:t>В</w:t>
      </w:r>
      <w:r w:rsidRPr="00FD5397">
        <w:rPr>
          <w:sz w:val="26"/>
          <w:szCs w:val="26"/>
        </w:rPr>
        <w:t xml:space="preserve"> адрес управления</w:t>
      </w:r>
      <w:r w:rsidRPr="00FD5397">
        <w:rPr>
          <w:sz w:val="26"/>
          <w:szCs w:val="26"/>
        </w:rPr>
        <w:t xml:space="preserve"> </w:t>
      </w:r>
      <w:r w:rsidRPr="00FD5397">
        <w:rPr>
          <w:sz w:val="26"/>
          <w:szCs w:val="26"/>
        </w:rPr>
        <w:t>регулярно поступают</w:t>
      </w:r>
      <w:r w:rsidRPr="00FD5397">
        <w:rPr>
          <w:sz w:val="26"/>
          <w:szCs w:val="26"/>
        </w:rPr>
        <w:t xml:space="preserve"> </w:t>
      </w:r>
      <w:r>
        <w:rPr>
          <w:sz w:val="26"/>
          <w:szCs w:val="26"/>
        </w:rPr>
        <w:t>заявления о</w:t>
      </w:r>
      <w:r w:rsidR="00927EC8" w:rsidRPr="00FD5397">
        <w:rPr>
          <w:sz w:val="26"/>
          <w:szCs w:val="26"/>
        </w:rPr>
        <w:t xml:space="preserve"> нарушение установленных в статье 11 Федерального закона «О защите конкуренции» (далее  также – Закон № 135) запретов на заключение ограничивающих конкуренцию соглашений. </w:t>
      </w:r>
      <w:r w:rsidR="00FD5397" w:rsidRPr="00FD5397">
        <w:rPr>
          <w:sz w:val="26"/>
          <w:szCs w:val="26"/>
        </w:rPr>
        <w:t xml:space="preserve">В </w:t>
      </w:r>
      <w:proofErr w:type="gramStart"/>
      <w:r w:rsidR="00FD5397" w:rsidRPr="00FD5397">
        <w:rPr>
          <w:sz w:val="26"/>
          <w:szCs w:val="26"/>
        </w:rPr>
        <w:t>основном</w:t>
      </w:r>
      <w:proofErr w:type="gramEnd"/>
      <w:r>
        <w:rPr>
          <w:sz w:val="26"/>
          <w:szCs w:val="26"/>
        </w:rPr>
        <w:t xml:space="preserve">, </w:t>
      </w:r>
      <w:r w:rsidR="00FD5397" w:rsidRPr="00FD5397">
        <w:rPr>
          <w:sz w:val="26"/>
          <w:szCs w:val="26"/>
        </w:rPr>
        <w:t xml:space="preserve">это </w:t>
      </w:r>
      <w:r w:rsidR="00927EC8" w:rsidRPr="00FD5397">
        <w:rPr>
          <w:sz w:val="26"/>
          <w:szCs w:val="26"/>
        </w:rPr>
        <w:t>заявлени</w:t>
      </w:r>
      <w:r w:rsidR="00FD5397" w:rsidRPr="00FD5397">
        <w:rPr>
          <w:sz w:val="26"/>
          <w:szCs w:val="26"/>
        </w:rPr>
        <w:t>я</w:t>
      </w:r>
      <w:r>
        <w:rPr>
          <w:sz w:val="26"/>
          <w:szCs w:val="26"/>
        </w:rPr>
        <w:t xml:space="preserve"> на </w:t>
      </w:r>
      <w:r w:rsidRPr="00FD5397">
        <w:rPr>
          <w:sz w:val="26"/>
          <w:szCs w:val="26"/>
        </w:rPr>
        <w:t>действия участников открытых электронных аукционов, запросов котировок, открытых конкурсов, выразившихся в возможном сговоре</w:t>
      </w:r>
      <w:r>
        <w:rPr>
          <w:sz w:val="26"/>
          <w:szCs w:val="26"/>
        </w:rPr>
        <w:t>.</w:t>
      </w:r>
      <w:r w:rsidRPr="00FD5397">
        <w:rPr>
          <w:sz w:val="26"/>
          <w:szCs w:val="26"/>
        </w:rPr>
        <w:t xml:space="preserve"> </w:t>
      </w:r>
    </w:p>
    <w:p w:rsidR="00B75CF6" w:rsidRPr="00FD5397" w:rsidRDefault="00B75CF6" w:rsidP="00B45756">
      <w:pPr>
        <w:spacing w:line="276" w:lineRule="auto"/>
        <w:ind w:firstLine="708"/>
        <w:jc w:val="both"/>
        <w:rPr>
          <w:sz w:val="26"/>
          <w:szCs w:val="26"/>
        </w:rPr>
      </w:pPr>
      <w:r w:rsidRPr="00FD5397">
        <w:rPr>
          <w:sz w:val="26"/>
          <w:szCs w:val="26"/>
        </w:rPr>
        <w:t>За истекший период 2018 года управление рассмотрено 16 заявлений  о нарушении требований, установленных статьёй 11 Закона о защите конкуренции</w:t>
      </w:r>
      <w:r w:rsidR="00FD5397">
        <w:rPr>
          <w:sz w:val="26"/>
          <w:szCs w:val="26"/>
        </w:rPr>
        <w:t xml:space="preserve">, из них </w:t>
      </w:r>
      <w:r w:rsidR="00B45756">
        <w:rPr>
          <w:sz w:val="26"/>
          <w:szCs w:val="26"/>
        </w:rPr>
        <w:t>10</w:t>
      </w:r>
      <w:r w:rsidR="00B45756">
        <w:rPr>
          <w:sz w:val="26"/>
          <w:szCs w:val="26"/>
        </w:rPr>
        <w:t xml:space="preserve"> - </w:t>
      </w:r>
      <w:r w:rsidR="00FD5397">
        <w:rPr>
          <w:sz w:val="26"/>
          <w:szCs w:val="26"/>
        </w:rPr>
        <w:t>по</w:t>
      </w:r>
      <w:r w:rsidRPr="00FD5397">
        <w:rPr>
          <w:sz w:val="26"/>
          <w:szCs w:val="26"/>
        </w:rPr>
        <w:t xml:space="preserve"> заключени</w:t>
      </w:r>
      <w:r w:rsidR="00927EC8" w:rsidRPr="00FD5397">
        <w:rPr>
          <w:sz w:val="26"/>
          <w:szCs w:val="26"/>
        </w:rPr>
        <w:t>ю</w:t>
      </w:r>
      <w:r w:rsidRPr="00FD5397">
        <w:rPr>
          <w:sz w:val="26"/>
          <w:szCs w:val="26"/>
        </w:rPr>
        <w:t xml:space="preserve"> соглашений на торгах.</w:t>
      </w:r>
    </w:p>
    <w:p w:rsidR="00FD5397" w:rsidRPr="00163A87" w:rsidRDefault="00FD5397" w:rsidP="00B45756">
      <w:pPr>
        <w:spacing w:before="120" w:line="276" w:lineRule="auto"/>
        <w:ind w:firstLine="454"/>
        <w:jc w:val="both"/>
        <w:rPr>
          <w:sz w:val="26"/>
          <w:szCs w:val="26"/>
        </w:rPr>
      </w:pPr>
      <w:r w:rsidRPr="00FD5397">
        <w:rPr>
          <w:sz w:val="26"/>
          <w:szCs w:val="26"/>
        </w:rPr>
        <w:t xml:space="preserve">Управлением  за первую половину года было </w:t>
      </w:r>
      <w:r w:rsidRPr="00FD5397">
        <w:rPr>
          <w:b/>
          <w:sz w:val="26"/>
          <w:szCs w:val="26"/>
        </w:rPr>
        <w:t>возбуждено 9 дел</w:t>
      </w:r>
      <w:r w:rsidRPr="00163A87">
        <w:rPr>
          <w:sz w:val="26"/>
          <w:szCs w:val="26"/>
        </w:rPr>
        <w:t xml:space="preserve"> по признакам заключения картельных соглашений на торгах. Основанием возбуждения дел явились поступившие в управление заявления либо переданные управлению правоохранительными органами и иными органами власти материалы, указывающие на признаки нарушения участниками торгов (аукционов) требований о запрете заключения ограничивающих конкуренцию соглашений.</w:t>
      </w:r>
    </w:p>
    <w:p w:rsidR="00B75CF6" w:rsidRPr="00B45756" w:rsidRDefault="00B75CF6" w:rsidP="00B75CF6">
      <w:pPr>
        <w:ind w:firstLine="720"/>
        <w:jc w:val="both"/>
        <w:rPr>
          <w:b/>
          <w:sz w:val="26"/>
          <w:szCs w:val="26"/>
        </w:rPr>
      </w:pPr>
      <w:r w:rsidRPr="00FD5397">
        <w:rPr>
          <w:sz w:val="26"/>
          <w:szCs w:val="26"/>
        </w:rPr>
        <w:t>По двум делам нарушени</w:t>
      </w:r>
      <w:r w:rsidR="003812AD" w:rsidRPr="00FD5397">
        <w:rPr>
          <w:sz w:val="26"/>
          <w:szCs w:val="26"/>
        </w:rPr>
        <w:t>е</w:t>
      </w:r>
      <w:r w:rsidRPr="00FD5397">
        <w:rPr>
          <w:sz w:val="26"/>
          <w:szCs w:val="26"/>
        </w:rPr>
        <w:t xml:space="preserve"> квалифицирован</w:t>
      </w:r>
      <w:r w:rsidR="003812AD" w:rsidRPr="00FD5397">
        <w:rPr>
          <w:sz w:val="26"/>
          <w:szCs w:val="26"/>
        </w:rPr>
        <w:t>о</w:t>
      </w:r>
      <w:r w:rsidRPr="00FD5397">
        <w:rPr>
          <w:sz w:val="26"/>
          <w:szCs w:val="26"/>
        </w:rPr>
        <w:t xml:space="preserve"> также (дополнительно) по пункту 3 части 4 статьи</w:t>
      </w:r>
      <w:r w:rsidR="000F57FC" w:rsidRPr="00FD5397">
        <w:rPr>
          <w:sz w:val="26"/>
          <w:szCs w:val="26"/>
        </w:rPr>
        <w:t xml:space="preserve"> 11 Закона о защите конкуренции</w:t>
      </w:r>
      <w:r w:rsidR="003812AD" w:rsidRPr="00FD5397">
        <w:rPr>
          <w:sz w:val="26"/>
          <w:szCs w:val="26"/>
        </w:rPr>
        <w:t xml:space="preserve">, т.е. </w:t>
      </w:r>
      <w:r w:rsidR="000F57FC" w:rsidRPr="00FD5397">
        <w:rPr>
          <w:sz w:val="26"/>
          <w:szCs w:val="26"/>
        </w:rPr>
        <w:t xml:space="preserve">заключение между хозяйствующими субъектами </w:t>
      </w:r>
      <w:r w:rsidR="003812AD" w:rsidRPr="00FD5397">
        <w:rPr>
          <w:sz w:val="26"/>
          <w:szCs w:val="26"/>
        </w:rPr>
        <w:t xml:space="preserve">иных </w:t>
      </w:r>
      <w:r w:rsidR="000F57FC" w:rsidRPr="00FD5397">
        <w:rPr>
          <w:sz w:val="26"/>
          <w:szCs w:val="26"/>
        </w:rPr>
        <w:t xml:space="preserve">соглашений, которые приводят или могут привести к ограничению конкуренции.  </w:t>
      </w:r>
      <w:r w:rsidRPr="00FD5397">
        <w:rPr>
          <w:sz w:val="26"/>
          <w:szCs w:val="26"/>
        </w:rPr>
        <w:t xml:space="preserve"> </w:t>
      </w:r>
    </w:p>
    <w:p w:rsidR="00B75CF6" w:rsidRPr="00FD5397" w:rsidRDefault="00B45756" w:rsidP="00B75CF6">
      <w:pPr>
        <w:ind w:firstLine="720"/>
        <w:jc w:val="both"/>
        <w:rPr>
          <w:sz w:val="26"/>
          <w:szCs w:val="26"/>
        </w:rPr>
      </w:pPr>
      <w:r>
        <w:rPr>
          <w:sz w:val="26"/>
          <w:szCs w:val="26"/>
        </w:rPr>
        <w:t xml:space="preserve">В </w:t>
      </w:r>
      <w:proofErr w:type="gramStart"/>
      <w:r>
        <w:rPr>
          <w:sz w:val="26"/>
          <w:szCs w:val="26"/>
        </w:rPr>
        <w:t>первом</w:t>
      </w:r>
      <w:proofErr w:type="gramEnd"/>
      <w:r>
        <w:rPr>
          <w:sz w:val="26"/>
          <w:szCs w:val="26"/>
        </w:rPr>
        <w:t xml:space="preserve"> полугодии управлением </w:t>
      </w:r>
      <w:r w:rsidRPr="00B45756">
        <w:rPr>
          <w:b/>
          <w:sz w:val="26"/>
          <w:szCs w:val="26"/>
        </w:rPr>
        <w:t>завершено рассмотрение 5</w:t>
      </w:r>
      <w:r w:rsidR="003812AD" w:rsidRPr="00B45756">
        <w:rPr>
          <w:b/>
          <w:sz w:val="26"/>
          <w:szCs w:val="26"/>
        </w:rPr>
        <w:t xml:space="preserve"> дел</w:t>
      </w:r>
      <w:r w:rsidR="003812AD" w:rsidRPr="00FD5397">
        <w:rPr>
          <w:sz w:val="26"/>
          <w:szCs w:val="26"/>
        </w:rPr>
        <w:t xml:space="preserve"> управлением </w:t>
      </w:r>
      <w:r w:rsidR="00FD5397" w:rsidRPr="00FD5397">
        <w:rPr>
          <w:sz w:val="26"/>
          <w:szCs w:val="26"/>
        </w:rPr>
        <w:t xml:space="preserve">установлены факты нарушения антимонопольных запретов на заключение картельных соглашений и </w:t>
      </w:r>
      <w:r w:rsidR="003812AD" w:rsidRPr="00FD5397">
        <w:rPr>
          <w:sz w:val="26"/>
          <w:szCs w:val="26"/>
        </w:rPr>
        <w:t>приняты решения о нарушении антимонопольного законодательства</w:t>
      </w:r>
      <w:r w:rsidR="00FD5397" w:rsidRPr="00FD5397">
        <w:rPr>
          <w:sz w:val="26"/>
          <w:szCs w:val="26"/>
        </w:rPr>
        <w:t>.</w:t>
      </w:r>
      <w:r w:rsidR="00927EC8" w:rsidRPr="00FD5397">
        <w:rPr>
          <w:sz w:val="26"/>
          <w:szCs w:val="26"/>
        </w:rPr>
        <w:t xml:space="preserve"> </w:t>
      </w:r>
      <w:r w:rsidR="00FD5397" w:rsidRPr="00FD5397">
        <w:rPr>
          <w:sz w:val="26"/>
          <w:szCs w:val="26"/>
        </w:rPr>
        <w:t xml:space="preserve">Участникам соглашений, </w:t>
      </w:r>
      <w:r w:rsidR="00927EC8" w:rsidRPr="00FD5397">
        <w:rPr>
          <w:sz w:val="26"/>
          <w:szCs w:val="26"/>
        </w:rPr>
        <w:t xml:space="preserve">в общей сложности </w:t>
      </w:r>
      <w:r w:rsidR="00FD5397" w:rsidRPr="00FD5397">
        <w:rPr>
          <w:sz w:val="26"/>
          <w:szCs w:val="26"/>
        </w:rPr>
        <w:t xml:space="preserve">по всем делам, </w:t>
      </w:r>
      <w:r w:rsidR="00B75CF6" w:rsidRPr="00B45756">
        <w:rPr>
          <w:b/>
          <w:sz w:val="26"/>
          <w:szCs w:val="26"/>
        </w:rPr>
        <w:t>выдано 1</w:t>
      </w:r>
      <w:r w:rsidR="000656CC" w:rsidRPr="00B45756">
        <w:rPr>
          <w:b/>
          <w:sz w:val="26"/>
          <w:szCs w:val="26"/>
        </w:rPr>
        <w:t>7</w:t>
      </w:r>
      <w:r w:rsidR="00B75CF6" w:rsidRPr="00B45756">
        <w:rPr>
          <w:b/>
          <w:sz w:val="26"/>
          <w:szCs w:val="26"/>
        </w:rPr>
        <w:t xml:space="preserve"> предписаний</w:t>
      </w:r>
      <w:r w:rsidR="00927EC8" w:rsidRPr="00FD5397">
        <w:rPr>
          <w:sz w:val="26"/>
          <w:szCs w:val="26"/>
        </w:rPr>
        <w:t xml:space="preserve"> об устранении нарушения законодательства.</w:t>
      </w:r>
      <w:r w:rsidR="00B75CF6" w:rsidRPr="00FD5397">
        <w:rPr>
          <w:sz w:val="26"/>
          <w:szCs w:val="26"/>
        </w:rPr>
        <w:t xml:space="preserve"> </w:t>
      </w:r>
    </w:p>
    <w:p w:rsidR="00B75CF6" w:rsidRPr="00FD5397" w:rsidRDefault="00B75CF6" w:rsidP="00B75CF6">
      <w:pPr>
        <w:ind w:firstLine="708"/>
        <w:jc w:val="both"/>
        <w:rPr>
          <w:sz w:val="26"/>
          <w:szCs w:val="26"/>
        </w:rPr>
      </w:pPr>
      <w:r w:rsidRPr="00FD5397">
        <w:rPr>
          <w:sz w:val="26"/>
          <w:szCs w:val="26"/>
        </w:rPr>
        <w:t xml:space="preserve">В таблице </w:t>
      </w:r>
      <w:r w:rsidR="000656CC">
        <w:rPr>
          <w:sz w:val="26"/>
          <w:szCs w:val="26"/>
        </w:rPr>
        <w:t>для сравнения (за 2016 и 2017 год) приведены данные</w:t>
      </w:r>
      <w:r w:rsidRPr="00FD5397">
        <w:rPr>
          <w:sz w:val="26"/>
          <w:szCs w:val="26"/>
        </w:rPr>
        <w:t xml:space="preserve"> о количестве дел</w:t>
      </w:r>
      <w:r w:rsidR="000656CC">
        <w:rPr>
          <w:sz w:val="26"/>
          <w:szCs w:val="26"/>
        </w:rPr>
        <w:t>, возбуждённых (рассмотренных) управлением по признакам</w:t>
      </w:r>
      <w:r w:rsidRPr="00FD5397">
        <w:rPr>
          <w:sz w:val="26"/>
          <w:szCs w:val="26"/>
        </w:rPr>
        <w:t xml:space="preserve"> нарушени</w:t>
      </w:r>
      <w:r w:rsidR="000656CC">
        <w:rPr>
          <w:sz w:val="26"/>
          <w:szCs w:val="26"/>
        </w:rPr>
        <w:t>я</w:t>
      </w:r>
      <w:r w:rsidRPr="00FD5397">
        <w:rPr>
          <w:sz w:val="26"/>
          <w:szCs w:val="26"/>
        </w:rPr>
        <w:t xml:space="preserve"> ст.11 </w:t>
      </w:r>
      <w:r w:rsidR="000656CC">
        <w:rPr>
          <w:sz w:val="26"/>
          <w:szCs w:val="26"/>
        </w:rPr>
        <w:t xml:space="preserve">Закона о защите конкуренции </w:t>
      </w:r>
      <w:r w:rsidRPr="00FD5397">
        <w:rPr>
          <w:sz w:val="26"/>
          <w:szCs w:val="26"/>
        </w:rPr>
        <w:t xml:space="preserve">и выданных предписаний.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559"/>
        <w:gridCol w:w="1559"/>
        <w:gridCol w:w="1949"/>
      </w:tblGrid>
      <w:tr w:rsidR="00B75CF6" w:rsidRPr="00B75CF6" w:rsidTr="000656CC">
        <w:tc>
          <w:tcPr>
            <w:tcW w:w="4503" w:type="dxa"/>
            <w:shd w:val="clear" w:color="auto" w:fill="auto"/>
          </w:tcPr>
          <w:p w:rsidR="00B75CF6" w:rsidRPr="00B75CF6" w:rsidRDefault="00B75CF6" w:rsidP="00B75CF6">
            <w:pPr>
              <w:widowControl w:val="0"/>
              <w:jc w:val="both"/>
              <w:rPr>
                <w:sz w:val="24"/>
                <w:szCs w:val="24"/>
              </w:rPr>
            </w:pPr>
          </w:p>
        </w:tc>
        <w:tc>
          <w:tcPr>
            <w:tcW w:w="1559" w:type="dxa"/>
            <w:shd w:val="clear" w:color="auto" w:fill="auto"/>
            <w:vAlign w:val="center"/>
          </w:tcPr>
          <w:p w:rsidR="00B75CF6" w:rsidRPr="000605F0" w:rsidRDefault="00B75CF6" w:rsidP="00B75CF6">
            <w:pPr>
              <w:widowControl w:val="0"/>
              <w:jc w:val="center"/>
              <w:rPr>
                <w:sz w:val="22"/>
                <w:szCs w:val="24"/>
              </w:rPr>
            </w:pPr>
            <w:r w:rsidRPr="000605F0">
              <w:rPr>
                <w:sz w:val="22"/>
                <w:szCs w:val="24"/>
              </w:rPr>
              <w:t>2016 год</w:t>
            </w:r>
          </w:p>
        </w:tc>
        <w:tc>
          <w:tcPr>
            <w:tcW w:w="1559" w:type="dxa"/>
            <w:shd w:val="clear" w:color="auto" w:fill="auto"/>
            <w:vAlign w:val="center"/>
          </w:tcPr>
          <w:p w:rsidR="00B75CF6" w:rsidRPr="000605F0" w:rsidRDefault="00B75CF6" w:rsidP="00B75CF6">
            <w:pPr>
              <w:widowControl w:val="0"/>
              <w:jc w:val="center"/>
              <w:rPr>
                <w:sz w:val="22"/>
                <w:szCs w:val="24"/>
              </w:rPr>
            </w:pPr>
            <w:r w:rsidRPr="000605F0">
              <w:rPr>
                <w:sz w:val="22"/>
                <w:szCs w:val="24"/>
              </w:rPr>
              <w:t>2017  год</w:t>
            </w:r>
          </w:p>
        </w:tc>
        <w:tc>
          <w:tcPr>
            <w:tcW w:w="1949" w:type="dxa"/>
            <w:shd w:val="clear" w:color="auto" w:fill="auto"/>
            <w:vAlign w:val="center"/>
          </w:tcPr>
          <w:p w:rsidR="000656CC" w:rsidRPr="000605F0" w:rsidRDefault="00B75CF6" w:rsidP="00B75CF6">
            <w:pPr>
              <w:widowControl w:val="0"/>
              <w:jc w:val="center"/>
              <w:rPr>
                <w:sz w:val="22"/>
                <w:szCs w:val="24"/>
              </w:rPr>
            </w:pPr>
            <w:r w:rsidRPr="000605F0">
              <w:rPr>
                <w:sz w:val="22"/>
                <w:szCs w:val="24"/>
              </w:rPr>
              <w:t xml:space="preserve">2018 год </w:t>
            </w:r>
          </w:p>
          <w:p w:rsidR="00B75CF6" w:rsidRPr="000605F0" w:rsidRDefault="00B75CF6" w:rsidP="000605F0">
            <w:pPr>
              <w:widowControl w:val="0"/>
              <w:jc w:val="center"/>
              <w:rPr>
                <w:sz w:val="22"/>
                <w:szCs w:val="24"/>
              </w:rPr>
            </w:pPr>
            <w:r w:rsidRPr="000605F0">
              <w:rPr>
                <w:sz w:val="22"/>
                <w:szCs w:val="24"/>
              </w:rPr>
              <w:t xml:space="preserve"> (</w:t>
            </w:r>
            <w:r w:rsidR="000605F0" w:rsidRPr="000605F0">
              <w:rPr>
                <w:sz w:val="22"/>
                <w:szCs w:val="24"/>
              </w:rPr>
              <w:t>1 полугодие</w:t>
            </w:r>
            <w:r w:rsidRPr="000605F0">
              <w:rPr>
                <w:sz w:val="22"/>
                <w:szCs w:val="24"/>
              </w:rPr>
              <w:t>)</w:t>
            </w:r>
          </w:p>
        </w:tc>
      </w:tr>
      <w:tr w:rsidR="00B75CF6" w:rsidRPr="00B75CF6" w:rsidTr="000656CC">
        <w:trPr>
          <w:trHeight w:val="304"/>
        </w:trPr>
        <w:tc>
          <w:tcPr>
            <w:tcW w:w="4503" w:type="dxa"/>
            <w:shd w:val="clear" w:color="auto" w:fill="auto"/>
            <w:vAlign w:val="center"/>
          </w:tcPr>
          <w:p w:rsidR="00B75CF6" w:rsidRPr="000656CC" w:rsidRDefault="00B75CF6" w:rsidP="000656CC">
            <w:pPr>
              <w:rPr>
                <w:sz w:val="24"/>
                <w:szCs w:val="24"/>
              </w:rPr>
            </w:pPr>
            <w:r w:rsidRPr="000656CC">
              <w:rPr>
                <w:sz w:val="24"/>
                <w:szCs w:val="24"/>
              </w:rPr>
              <w:t xml:space="preserve">Возбуждено дел </w:t>
            </w:r>
            <w:r w:rsidR="000656CC" w:rsidRPr="000656CC">
              <w:rPr>
                <w:sz w:val="24"/>
                <w:szCs w:val="24"/>
              </w:rPr>
              <w:t>по признакам заключения картельного соглашения на торгах</w:t>
            </w:r>
          </w:p>
        </w:tc>
        <w:tc>
          <w:tcPr>
            <w:tcW w:w="1559" w:type="dxa"/>
            <w:shd w:val="clear" w:color="auto" w:fill="auto"/>
            <w:vAlign w:val="center"/>
          </w:tcPr>
          <w:p w:rsidR="00B75CF6" w:rsidRPr="00B75CF6" w:rsidRDefault="00FD5397" w:rsidP="000656CC">
            <w:pPr>
              <w:widowControl w:val="0"/>
              <w:jc w:val="center"/>
              <w:rPr>
                <w:i/>
                <w:sz w:val="24"/>
                <w:szCs w:val="24"/>
              </w:rPr>
            </w:pPr>
            <w:r>
              <w:rPr>
                <w:i/>
                <w:sz w:val="24"/>
                <w:szCs w:val="24"/>
              </w:rPr>
              <w:t>6</w:t>
            </w:r>
          </w:p>
        </w:tc>
        <w:tc>
          <w:tcPr>
            <w:tcW w:w="1559" w:type="dxa"/>
            <w:shd w:val="clear" w:color="auto" w:fill="auto"/>
            <w:vAlign w:val="center"/>
          </w:tcPr>
          <w:p w:rsidR="00B75CF6" w:rsidRPr="00B75CF6" w:rsidRDefault="00FD5397" w:rsidP="000656CC">
            <w:pPr>
              <w:jc w:val="center"/>
              <w:rPr>
                <w:i/>
                <w:sz w:val="24"/>
                <w:szCs w:val="24"/>
              </w:rPr>
            </w:pPr>
            <w:r>
              <w:rPr>
                <w:i/>
                <w:sz w:val="24"/>
                <w:szCs w:val="24"/>
              </w:rPr>
              <w:t>5</w:t>
            </w:r>
          </w:p>
        </w:tc>
        <w:tc>
          <w:tcPr>
            <w:tcW w:w="1949" w:type="dxa"/>
            <w:shd w:val="clear" w:color="auto" w:fill="auto"/>
            <w:vAlign w:val="center"/>
          </w:tcPr>
          <w:p w:rsidR="000605F0" w:rsidRDefault="00FD5397" w:rsidP="000656CC">
            <w:pPr>
              <w:widowControl w:val="0"/>
              <w:jc w:val="center"/>
              <w:rPr>
                <w:i/>
                <w:sz w:val="24"/>
                <w:szCs w:val="24"/>
              </w:rPr>
            </w:pPr>
            <w:r>
              <w:rPr>
                <w:i/>
                <w:sz w:val="24"/>
                <w:szCs w:val="24"/>
              </w:rPr>
              <w:t xml:space="preserve">9 </w:t>
            </w:r>
          </w:p>
          <w:p w:rsidR="00B75CF6" w:rsidRPr="00B75CF6" w:rsidRDefault="00B75CF6" w:rsidP="000656CC">
            <w:pPr>
              <w:widowControl w:val="0"/>
              <w:jc w:val="center"/>
              <w:rPr>
                <w:i/>
                <w:sz w:val="24"/>
                <w:szCs w:val="24"/>
              </w:rPr>
            </w:pPr>
            <w:r w:rsidRPr="00B75CF6">
              <w:rPr>
                <w:i/>
                <w:sz w:val="24"/>
                <w:szCs w:val="24"/>
              </w:rPr>
              <w:t>(</w:t>
            </w:r>
            <w:r w:rsidR="00FD5397">
              <w:rPr>
                <w:i/>
                <w:sz w:val="24"/>
                <w:szCs w:val="24"/>
              </w:rPr>
              <w:t>4</w:t>
            </w:r>
            <w:r w:rsidRPr="00B75CF6">
              <w:rPr>
                <w:i/>
                <w:sz w:val="24"/>
                <w:szCs w:val="24"/>
              </w:rPr>
              <w:t xml:space="preserve"> в стадии рассмотрения)</w:t>
            </w:r>
          </w:p>
        </w:tc>
      </w:tr>
      <w:tr w:rsidR="00B75CF6" w:rsidRPr="00B75CF6" w:rsidTr="000656CC">
        <w:trPr>
          <w:trHeight w:val="325"/>
        </w:trPr>
        <w:tc>
          <w:tcPr>
            <w:tcW w:w="4503" w:type="dxa"/>
            <w:shd w:val="clear" w:color="auto" w:fill="auto"/>
            <w:vAlign w:val="center"/>
          </w:tcPr>
          <w:p w:rsidR="00B75CF6" w:rsidRPr="000656CC" w:rsidRDefault="00B75CF6" w:rsidP="000656CC">
            <w:pPr>
              <w:rPr>
                <w:sz w:val="24"/>
                <w:szCs w:val="24"/>
              </w:rPr>
            </w:pPr>
            <w:r w:rsidRPr="000656CC">
              <w:rPr>
                <w:sz w:val="24"/>
                <w:szCs w:val="24"/>
              </w:rPr>
              <w:t xml:space="preserve">Установлено нарушений </w:t>
            </w:r>
            <w:r w:rsidR="000656CC" w:rsidRPr="000656CC">
              <w:rPr>
                <w:sz w:val="24"/>
                <w:szCs w:val="24"/>
              </w:rPr>
              <w:t xml:space="preserve"> п.2 ч.1 ст.11 Федерального закона №135-ФЗ</w:t>
            </w:r>
          </w:p>
        </w:tc>
        <w:tc>
          <w:tcPr>
            <w:tcW w:w="1559" w:type="dxa"/>
            <w:shd w:val="clear" w:color="auto" w:fill="auto"/>
            <w:vAlign w:val="center"/>
          </w:tcPr>
          <w:p w:rsidR="00B75CF6" w:rsidRPr="00B75CF6" w:rsidRDefault="00B75CF6" w:rsidP="000656CC">
            <w:pPr>
              <w:widowControl w:val="0"/>
              <w:jc w:val="center"/>
              <w:rPr>
                <w:i/>
                <w:sz w:val="24"/>
                <w:szCs w:val="24"/>
              </w:rPr>
            </w:pPr>
            <w:r w:rsidRPr="00B75CF6">
              <w:rPr>
                <w:i/>
                <w:sz w:val="24"/>
                <w:szCs w:val="24"/>
              </w:rPr>
              <w:t>5</w:t>
            </w:r>
          </w:p>
        </w:tc>
        <w:tc>
          <w:tcPr>
            <w:tcW w:w="1559" w:type="dxa"/>
            <w:shd w:val="clear" w:color="auto" w:fill="auto"/>
            <w:vAlign w:val="center"/>
          </w:tcPr>
          <w:p w:rsidR="00B75CF6" w:rsidRPr="00B75CF6" w:rsidRDefault="00B75CF6" w:rsidP="000656CC">
            <w:pPr>
              <w:jc w:val="center"/>
              <w:rPr>
                <w:i/>
                <w:sz w:val="24"/>
                <w:szCs w:val="24"/>
              </w:rPr>
            </w:pPr>
            <w:r w:rsidRPr="00B75CF6">
              <w:rPr>
                <w:i/>
                <w:sz w:val="24"/>
                <w:szCs w:val="24"/>
              </w:rPr>
              <w:t>5</w:t>
            </w:r>
          </w:p>
        </w:tc>
        <w:tc>
          <w:tcPr>
            <w:tcW w:w="1949" w:type="dxa"/>
            <w:shd w:val="clear" w:color="auto" w:fill="auto"/>
            <w:vAlign w:val="center"/>
          </w:tcPr>
          <w:p w:rsidR="00B75CF6" w:rsidRPr="00B75CF6" w:rsidRDefault="00B75CF6" w:rsidP="000656CC">
            <w:pPr>
              <w:widowControl w:val="0"/>
              <w:jc w:val="center"/>
              <w:rPr>
                <w:i/>
                <w:sz w:val="24"/>
                <w:szCs w:val="24"/>
              </w:rPr>
            </w:pPr>
            <w:r w:rsidRPr="00B75CF6">
              <w:rPr>
                <w:i/>
                <w:sz w:val="24"/>
                <w:szCs w:val="24"/>
              </w:rPr>
              <w:t>5</w:t>
            </w:r>
          </w:p>
        </w:tc>
      </w:tr>
      <w:tr w:rsidR="00B75CF6" w:rsidRPr="00B75CF6" w:rsidTr="000656CC">
        <w:trPr>
          <w:trHeight w:val="549"/>
        </w:trPr>
        <w:tc>
          <w:tcPr>
            <w:tcW w:w="4503" w:type="dxa"/>
            <w:shd w:val="clear" w:color="auto" w:fill="auto"/>
            <w:vAlign w:val="center"/>
          </w:tcPr>
          <w:p w:rsidR="00B75CF6" w:rsidRPr="000656CC" w:rsidRDefault="00B75CF6" w:rsidP="000656CC">
            <w:pPr>
              <w:rPr>
                <w:sz w:val="24"/>
                <w:szCs w:val="24"/>
              </w:rPr>
            </w:pPr>
            <w:r w:rsidRPr="000656CC">
              <w:rPr>
                <w:sz w:val="24"/>
                <w:szCs w:val="24"/>
              </w:rPr>
              <w:t>Выдано предписаний</w:t>
            </w:r>
          </w:p>
        </w:tc>
        <w:tc>
          <w:tcPr>
            <w:tcW w:w="1559" w:type="dxa"/>
            <w:shd w:val="clear" w:color="auto" w:fill="auto"/>
            <w:vAlign w:val="center"/>
          </w:tcPr>
          <w:p w:rsidR="00B75CF6" w:rsidRPr="00B75CF6" w:rsidRDefault="00B75CF6" w:rsidP="000656CC">
            <w:pPr>
              <w:widowControl w:val="0"/>
              <w:jc w:val="center"/>
              <w:rPr>
                <w:i/>
                <w:sz w:val="24"/>
                <w:szCs w:val="24"/>
              </w:rPr>
            </w:pPr>
            <w:r w:rsidRPr="00B75CF6">
              <w:rPr>
                <w:i/>
                <w:sz w:val="24"/>
                <w:szCs w:val="24"/>
              </w:rPr>
              <w:t>17</w:t>
            </w:r>
          </w:p>
        </w:tc>
        <w:tc>
          <w:tcPr>
            <w:tcW w:w="1559" w:type="dxa"/>
            <w:shd w:val="clear" w:color="auto" w:fill="auto"/>
            <w:vAlign w:val="center"/>
          </w:tcPr>
          <w:p w:rsidR="00B75CF6" w:rsidRPr="00B75CF6" w:rsidRDefault="00B75CF6" w:rsidP="000656CC">
            <w:pPr>
              <w:jc w:val="center"/>
              <w:rPr>
                <w:i/>
                <w:sz w:val="24"/>
                <w:szCs w:val="24"/>
              </w:rPr>
            </w:pPr>
            <w:r w:rsidRPr="00B75CF6">
              <w:rPr>
                <w:i/>
                <w:sz w:val="24"/>
                <w:szCs w:val="24"/>
              </w:rPr>
              <w:t>18</w:t>
            </w:r>
          </w:p>
        </w:tc>
        <w:tc>
          <w:tcPr>
            <w:tcW w:w="1949" w:type="dxa"/>
            <w:shd w:val="clear" w:color="auto" w:fill="auto"/>
            <w:vAlign w:val="center"/>
          </w:tcPr>
          <w:p w:rsidR="00B75CF6" w:rsidRPr="00B75CF6" w:rsidRDefault="00B75CF6" w:rsidP="000656CC">
            <w:pPr>
              <w:widowControl w:val="0"/>
              <w:jc w:val="center"/>
              <w:rPr>
                <w:i/>
                <w:sz w:val="24"/>
                <w:szCs w:val="24"/>
              </w:rPr>
            </w:pPr>
            <w:r w:rsidRPr="00B75CF6">
              <w:rPr>
                <w:i/>
                <w:sz w:val="24"/>
                <w:szCs w:val="24"/>
              </w:rPr>
              <w:t>17</w:t>
            </w:r>
          </w:p>
        </w:tc>
      </w:tr>
    </w:tbl>
    <w:p w:rsidR="00D45B26" w:rsidRDefault="00D45B26" w:rsidP="00B45756">
      <w:pPr>
        <w:pStyle w:val="a9"/>
        <w:widowControl w:val="0"/>
        <w:spacing w:line="276" w:lineRule="auto"/>
        <w:rPr>
          <w:sz w:val="26"/>
          <w:szCs w:val="26"/>
        </w:rPr>
      </w:pPr>
    </w:p>
    <w:p w:rsidR="00B45756" w:rsidRPr="00163A87" w:rsidRDefault="00B45756" w:rsidP="00B45756">
      <w:pPr>
        <w:pStyle w:val="a9"/>
        <w:widowControl w:val="0"/>
        <w:spacing w:line="276" w:lineRule="auto"/>
        <w:rPr>
          <w:sz w:val="26"/>
          <w:szCs w:val="26"/>
        </w:rPr>
      </w:pPr>
      <w:r>
        <w:rPr>
          <w:sz w:val="26"/>
          <w:szCs w:val="26"/>
        </w:rPr>
        <w:t xml:space="preserve">В </w:t>
      </w:r>
      <w:proofErr w:type="gramStart"/>
      <w:r>
        <w:rPr>
          <w:sz w:val="26"/>
          <w:szCs w:val="26"/>
        </w:rPr>
        <w:t>марте</w:t>
      </w:r>
      <w:proofErr w:type="gramEnd"/>
      <w:r>
        <w:rPr>
          <w:sz w:val="26"/>
          <w:szCs w:val="26"/>
        </w:rPr>
        <w:t xml:space="preserve"> текущего года кассационный суд поставил точку в процессе судебного обжалования по делу </w:t>
      </w:r>
      <w:r w:rsidRPr="00163A87">
        <w:rPr>
          <w:sz w:val="26"/>
          <w:szCs w:val="26"/>
        </w:rPr>
        <w:t>№ К16/65-11, возбуждённо</w:t>
      </w:r>
      <w:r>
        <w:rPr>
          <w:sz w:val="26"/>
          <w:szCs w:val="26"/>
        </w:rPr>
        <w:t xml:space="preserve">му в 2017 году </w:t>
      </w:r>
      <w:r w:rsidRPr="00163A87">
        <w:rPr>
          <w:sz w:val="26"/>
          <w:szCs w:val="26"/>
        </w:rPr>
        <w:t xml:space="preserve">по факту заключения поставщиками медицинских товаров картельных соглашений, </w:t>
      </w:r>
      <w:r w:rsidRPr="00B45756">
        <w:rPr>
          <w:sz w:val="26"/>
          <w:szCs w:val="26"/>
        </w:rPr>
        <w:t xml:space="preserve">направленных на поддержание цен на торгах. </w:t>
      </w:r>
      <w:r w:rsidRPr="00B45756">
        <w:rPr>
          <w:sz w:val="26"/>
          <w:szCs w:val="26"/>
        </w:rPr>
        <w:t>Данное дело явилось н</w:t>
      </w:r>
      <w:r w:rsidRPr="00B45756">
        <w:rPr>
          <w:sz w:val="26"/>
          <w:szCs w:val="26"/>
        </w:rPr>
        <w:t>аиболее значимым и самым масштабным делом</w:t>
      </w:r>
      <w:r w:rsidRPr="00B45756">
        <w:rPr>
          <w:sz w:val="26"/>
          <w:szCs w:val="26"/>
        </w:rPr>
        <w:t xml:space="preserve"> </w:t>
      </w:r>
      <w:r w:rsidRPr="00B45756">
        <w:rPr>
          <w:sz w:val="26"/>
          <w:szCs w:val="26"/>
        </w:rPr>
        <w:t>из всех рассмотренных управлением до  2017 года</w:t>
      </w:r>
      <w:r w:rsidRPr="00B45756">
        <w:rPr>
          <w:sz w:val="26"/>
          <w:szCs w:val="26"/>
        </w:rPr>
        <w:t xml:space="preserve"> </w:t>
      </w:r>
      <w:r w:rsidRPr="00B45756">
        <w:rPr>
          <w:sz w:val="26"/>
          <w:szCs w:val="26"/>
        </w:rPr>
        <w:t>дел по нарушению  пункта 2 части 1 статьи 11 Федерального закона «О защите конкуренции</w:t>
      </w:r>
      <w:r w:rsidRPr="00163A87">
        <w:rPr>
          <w:sz w:val="26"/>
          <w:szCs w:val="26"/>
        </w:rPr>
        <w:t>»</w:t>
      </w:r>
      <w:r>
        <w:rPr>
          <w:sz w:val="26"/>
          <w:szCs w:val="26"/>
        </w:rPr>
        <w:t xml:space="preserve"> </w:t>
      </w:r>
    </w:p>
    <w:p w:rsidR="009D46EF" w:rsidRPr="00163A87" w:rsidRDefault="00C55FA0" w:rsidP="00AC4051">
      <w:pPr>
        <w:pStyle w:val="a9"/>
        <w:widowControl w:val="0"/>
        <w:spacing w:line="276" w:lineRule="auto"/>
        <w:rPr>
          <w:sz w:val="26"/>
          <w:szCs w:val="26"/>
        </w:rPr>
      </w:pPr>
      <w:r w:rsidRPr="00163A87">
        <w:rPr>
          <w:sz w:val="26"/>
          <w:szCs w:val="26"/>
        </w:rPr>
        <w:t xml:space="preserve"> </w:t>
      </w:r>
      <w:r w:rsidR="009D46EF" w:rsidRPr="00163A87">
        <w:rPr>
          <w:sz w:val="26"/>
          <w:szCs w:val="26"/>
        </w:rPr>
        <w:t xml:space="preserve">Дело было возбуждено на основании материалов, полученных от </w:t>
      </w:r>
      <w:proofErr w:type="spellStart"/>
      <w:r w:rsidR="009D46EF" w:rsidRPr="00163A87">
        <w:rPr>
          <w:sz w:val="26"/>
          <w:szCs w:val="26"/>
        </w:rPr>
        <w:t>ОЭБиПК</w:t>
      </w:r>
      <w:proofErr w:type="spellEnd"/>
      <w:r w:rsidR="009D46EF" w:rsidRPr="00163A87">
        <w:rPr>
          <w:sz w:val="26"/>
          <w:szCs w:val="26"/>
        </w:rPr>
        <w:t xml:space="preserve"> УМВД России по </w:t>
      </w:r>
      <w:proofErr w:type="spellStart"/>
      <w:r w:rsidR="009D46EF" w:rsidRPr="00163A87">
        <w:rPr>
          <w:sz w:val="26"/>
          <w:szCs w:val="26"/>
        </w:rPr>
        <w:t>г</w:t>
      </w:r>
      <w:proofErr w:type="gramStart"/>
      <w:r w:rsidR="009D46EF" w:rsidRPr="00163A87">
        <w:rPr>
          <w:sz w:val="26"/>
          <w:szCs w:val="26"/>
        </w:rPr>
        <w:t>.Т</w:t>
      </w:r>
      <w:proofErr w:type="gramEnd"/>
      <w:r w:rsidR="009D46EF" w:rsidRPr="00163A87">
        <w:rPr>
          <w:sz w:val="26"/>
          <w:szCs w:val="26"/>
        </w:rPr>
        <w:t>юмени</w:t>
      </w:r>
      <w:proofErr w:type="spellEnd"/>
      <w:r w:rsidR="009D46EF" w:rsidRPr="00163A87">
        <w:rPr>
          <w:sz w:val="26"/>
          <w:szCs w:val="26"/>
        </w:rPr>
        <w:t xml:space="preserve">.  </w:t>
      </w:r>
      <w:proofErr w:type="gramStart"/>
      <w:r w:rsidR="009D46EF" w:rsidRPr="00163A87">
        <w:rPr>
          <w:sz w:val="26"/>
          <w:szCs w:val="26"/>
        </w:rPr>
        <w:t xml:space="preserve">В ходе рассмотрения дела было установлено, что в 2013-2015 гг. был проведён ряд закупок в форме электронных аукционов для нужд медицинских учреждений системы здравоохранения Российской Федерации, заказчиками по которым выступили Департамент здравоохранения Тюменской области, ГБОУ ВПО "Тюменская государственная медицинская академия" Министерства здравоохранения Российской Федерации, ГБУЗ ТО "Областная клиническая больница №1", ГБУЗ ТО "Областная клиническая больница №2" и другие организации. </w:t>
      </w:r>
      <w:proofErr w:type="gramEnd"/>
    </w:p>
    <w:p w:rsidR="009D46EF" w:rsidRPr="00163A87" w:rsidRDefault="009D46EF" w:rsidP="00825C77">
      <w:pPr>
        <w:autoSpaceDE w:val="0"/>
        <w:autoSpaceDN w:val="0"/>
        <w:adjustRightInd w:val="0"/>
        <w:spacing w:line="276" w:lineRule="auto"/>
        <w:ind w:firstLine="540"/>
        <w:jc w:val="both"/>
        <w:rPr>
          <w:sz w:val="26"/>
          <w:szCs w:val="26"/>
        </w:rPr>
      </w:pPr>
      <w:r w:rsidRPr="00163A87">
        <w:rPr>
          <w:sz w:val="26"/>
          <w:szCs w:val="26"/>
        </w:rPr>
        <w:t>Предметом торгов являлась поставка медицинского оборудования, изделий медицинского назначения и расходных материалов, используемых в медицине.</w:t>
      </w:r>
    </w:p>
    <w:p w:rsidR="003C28FE" w:rsidRPr="00163A87" w:rsidRDefault="003C28FE" w:rsidP="007F1405">
      <w:pPr>
        <w:autoSpaceDE w:val="0"/>
        <w:autoSpaceDN w:val="0"/>
        <w:adjustRightInd w:val="0"/>
        <w:spacing w:line="276" w:lineRule="auto"/>
        <w:ind w:firstLine="540"/>
        <w:jc w:val="both"/>
        <w:rPr>
          <w:sz w:val="26"/>
          <w:szCs w:val="26"/>
        </w:rPr>
      </w:pPr>
      <w:r w:rsidRPr="00163A87">
        <w:rPr>
          <w:color w:val="000000"/>
          <w:sz w:val="26"/>
          <w:szCs w:val="26"/>
          <w:shd w:val="clear" w:color="auto" w:fill="FFFFFF"/>
        </w:rPr>
        <w:t xml:space="preserve">Управлением выявлен </w:t>
      </w:r>
      <w:r w:rsidRPr="007F1405">
        <w:rPr>
          <w:color w:val="000000"/>
          <w:sz w:val="26"/>
          <w:szCs w:val="26"/>
          <w:shd w:val="clear" w:color="auto" w:fill="FFFFFF"/>
        </w:rPr>
        <w:t>131 электронный</w:t>
      </w:r>
      <w:r w:rsidRPr="00163A87">
        <w:rPr>
          <w:color w:val="000000"/>
          <w:sz w:val="26"/>
          <w:szCs w:val="26"/>
          <w:shd w:val="clear" w:color="auto" w:fill="FFFFFF"/>
        </w:rPr>
        <w:t xml:space="preserve"> аукцион, в </w:t>
      </w:r>
      <w:proofErr w:type="gramStart"/>
      <w:r w:rsidRPr="00163A87">
        <w:rPr>
          <w:color w:val="000000"/>
          <w:sz w:val="26"/>
          <w:szCs w:val="26"/>
          <w:shd w:val="clear" w:color="auto" w:fill="FFFFFF"/>
        </w:rPr>
        <w:t>которых</w:t>
      </w:r>
      <w:proofErr w:type="gramEnd"/>
      <w:r w:rsidRPr="00163A87">
        <w:rPr>
          <w:color w:val="000000"/>
          <w:sz w:val="26"/>
          <w:szCs w:val="26"/>
          <w:shd w:val="clear" w:color="auto" w:fill="FFFFFF"/>
        </w:rPr>
        <w:t xml:space="preserve"> указанные компании принимали участие.</w:t>
      </w:r>
      <w:r w:rsidR="007F1405">
        <w:rPr>
          <w:color w:val="000000"/>
          <w:sz w:val="26"/>
          <w:szCs w:val="26"/>
          <w:shd w:val="clear" w:color="auto" w:fill="FFFFFF"/>
        </w:rPr>
        <w:t xml:space="preserve"> </w:t>
      </w:r>
      <w:proofErr w:type="gramStart"/>
      <w:r w:rsidR="000D3891" w:rsidRPr="00163A87">
        <w:rPr>
          <w:sz w:val="26"/>
          <w:szCs w:val="26"/>
        </w:rPr>
        <w:t>З</w:t>
      </w:r>
      <w:r w:rsidRPr="00163A87">
        <w:rPr>
          <w:sz w:val="26"/>
          <w:szCs w:val="26"/>
        </w:rPr>
        <w:t>аявившись</w:t>
      </w:r>
      <w:proofErr w:type="gramEnd"/>
      <w:r w:rsidRPr="00163A87">
        <w:rPr>
          <w:sz w:val="26"/>
          <w:szCs w:val="26"/>
        </w:rPr>
        <w:t xml:space="preserve">  на участие в </w:t>
      </w:r>
      <w:r w:rsidRPr="00163A87">
        <w:rPr>
          <w:sz w:val="26"/>
          <w:szCs w:val="26"/>
          <w:shd w:val="clear" w:color="auto" w:fill="FFFFFF"/>
        </w:rPr>
        <w:t xml:space="preserve">указанных </w:t>
      </w:r>
      <w:r w:rsidRPr="00163A87">
        <w:rPr>
          <w:sz w:val="26"/>
          <w:szCs w:val="26"/>
        </w:rPr>
        <w:t xml:space="preserve">электронных аукционах, </w:t>
      </w:r>
      <w:r w:rsidR="000D3891" w:rsidRPr="00163A87">
        <w:rPr>
          <w:sz w:val="26"/>
          <w:szCs w:val="26"/>
        </w:rPr>
        <w:t xml:space="preserve">компании </w:t>
      </w:r>
      <w:r w:rsidRPr="00163A87">
        <w:rPr>
          <w:sz w:val="26"/>
          <w:szCs w:val="26"/>
        </w:rPr>
        <w:t xml:space="preserve">действовали по отработанной схеме: в аукционе, как правило, принимали участие 2 компании - «компания-победитель» и «компания-статист»; каждая из компаний делала по одному ценовому предложению; первой ценовое предложение подавала «компания-статист», а затем своё ценовое предложение делала «компания-победитель»; после ценового предложения, сделанного «компанией-победителем», «компания-статист» цену контракта далее не снижала, вела себя пассивно, в результате чего победителем становилась заранее определённая на эту роль компания. </w:t>
      </w:r>
    </w:p>
    <w:p w:rsidR="003C28FE" w:rsidRPr="00163A87" w:rsidRDefault="003C28FE" w:rsidP="00825C77">
      <w:pPr>
        <w:spacing w:line="276" w:lineRule="auto"/>
        <w:ind w:firstLine="567"/>
        <w:jc w:val="both"/>
        <w:rPr>
          <w:sz w:val="26"/>
          <w:szCs w:val="26"/>
        </w:rPr>
      </w:pPr>
      <w:r w:rsidRPr="00163A87">
        <w:rPr>
          <w:sz w:val="26"/>
          <w:szCs w:val="26"/>
        </w:rPr>
        <w:t xml:space="preserve">Таким образом, после ценового предложения «компании-победителя», «компания-статист» отказывалась от конкурентной борьбы в пользу заранее определённой на роль победителя компании. </w:t>
      </w:r>
      <w:r w:rsidRPr="00163A87">
        <w:rPr>
          <w:color w:val="000000"/>
          <w:sz w:val="26"/>
          <w:szCs w:val="26"/>
        </w:rPr>
        <w:t xml:space="preserve">Отказ </w:t>
      </w:r>
      <w:r w:rsidRPr="00163A87">
        <w:rPr>
          <w:sz w:val="26"/>
          <w:szCs w:val="26"/>
        </w:rPr>
        <w:t>«компании-статиста»</w:t>
      </w:r>
      <w:r w:rsidRPr="00163A87">
        <w:rPr>
          <w:color w:val="000000"/>
          <w:sz w:val="26"/>
          <w:szCs w:val="26"/>
        </w:rPr>
        <w:t xml:space="preserve"> от подачи соответствующего ценового предложения свидетельствует об имеющейся договорённости, поскольку подобные действия </w:t>
      </w:r>
      <w:r w:rsidRPr="00163A87">
        <w:rPr>
          <w:rFonts w:eastAsia="TimesNewRomanPSMT"/>
          <w:color w:val="000000"/>
          <w:sz w:val="26"/>
          <w:szCs w:val="26"/>
          <w:shd w:val="clear" w:color="auto" w:fill="FFFFFF"/>
        </w:rPr>
        <w:t xml:space="preserve">схожи с заранее оговорёнными действиями в интересах друг друга по достижению единых целей. </w:t>
      </w:r>
      <w:r w:rsidRPr="00163A87">
        <w:rPr>
          <w:color w:val="000000"/>
          <w:sz w:val="26"/>
          <w:szCs w:val="26"/>
        </w:rPr>
        <w:t>Таким образом, одна из компаний принимала участие в торгах лишь номинально, с целью имитации конкуренции.</w:t>
      </w:r>
    </w:p>
    <w:p w:rsidR="003C28FE" w:rsidRPr="00163A87" w:rsidRDefault="003C28FE" w:rsidP="00825C77">
      <w:pPr>
        <w:spacing w:line="276" w:lineRule="auto"/>
        <w:ind w:firstLine="567"/>
        <w:jc w:val="both"/>
        <w:rPr>
          <w:b/>
          <w:sz w:val="26"/>
          <w:szCs w:val="26"/>
        </w:rPr>
      </w:pPr>
      <w:r w:rsidRPr="00163A87">
        <w:rPr>
          <w:bCs/>
          <w:sz w:val="26"/>
          <w:szCs w:val="26"/>
        </w:rPr>
        <w:t xml:space="preserve">Одновременная подача заявок на участие в перечисленных электронных аукционах подтверждает скоординированность действий участников соглашения. </w:t>
      </w:r>
      <w:r w:rsidRPr="00163A87">
        <w:rPr>
          <w:sz w:val="26"/>
          <w:szCs w:val="26"/>
        </w:rPr>
        <w:t>Свидетельством наличия картеля является также использование компаниями единой инфраструктуры:</w:t>
      </w:r>
      <w:r w:rsidRPr="00163A87">
        <w:rPr>
          <w:rFonts w:eastAsia="TimesNewRomanPSMT"/>
          <w:color w:val="000000"/>
          <w:sz w:val="26"/>
          <w:szCs w:val="26"/>
          <w:shd w:val="clear" w:color="auto" w:fill="FFFFFF"/>
        </w:rPr>
        <w:t xml:space="preserve"> единый набор</w:t>
      </w:r>
      <w:r w:rsidRPr="00163A87">
        <w:rPr>
          <w:sz w:val="26"/>
          <w:szCs w:val="26"/>
        </w:rPr>
        <w:t xml:space="preserve"> </w:t>
      </w:r>
      <w:r w:rsidRPr="00163A87">
        <w:rPr>
          <w:rFonts w:eastAsia="TimesNewRomanPSMT"/>
          <w:color w:val="000000"/>
          <w:sz w:val="26"/>
          <w:szCs w:val="26"/>
          <w:shd w:val="clear" w:color="auto" w:fill="FFFFFF"/>
          <w:lang w:val="en-US"/>
        </w:rPr>
        <w:t>IP</w:t>
      </w:r>
      <w:r w:rsidRPr="00163A87">
        <w:rPr>
          <w:rFonts w:eastAsia="TimesNewRomanPSMT"/>
          <w:color w:val="000000"/>
          <w:sz w:val="26"/>
          <w:szCs w:val="26"/>
          <w:shd w:val="clear" w:color="auto" w:fill="FFFFFF"/>
        </w:rPr>
        <w:t xml:space="preserve">-адресов, </w:t>
      </w:r>
      <w:r w:rsidRPr="00163A87">
        <w:rPr>
          <w:rFonts w:eastAsia="TimesNewRomanPSMT"/>
          <w:color w:val="000000"/>
          <w:sz w:val="26"/>
          <w:szCs w:val="26"/>
        </w:rPr>
        <w:t>места фактического расположения, компьютерную технику и т.д.</w:t>
      </w:r>
      <w:r w:rsidRPr="00163A87">
        <w:rPr>
          <w:b/>
          <w:sz w:val="26"/>
          <w:szCs w:val="26"/>
        </w:rPr>
        <w:t xml:space="preserve"> </w:t>
      </w:r>
    </w:p>
    <w:p w:rsidR="003C28FE" w:rsidRPr="00163A87" w:rsidRDefault="003C28FE" w:rsidP="00825C77">
      <w:pPr>
        <w:spacing w:line="276" w:lineRule="auto"/>
        <w:ind w:firstLine="567"/>
        <w:jc w:val="both"/>
        <w:rPr>
          <w:rFonts w:eastAsia="TimesNewRomanPSMT"/>
          <w:sz w:val="26"/>
          <w:szCs w:val="26"/>
          <w:shd w:val="clear" w:color="auto" w:fill="FFFFFF"/>
        </w:rPr>
      </w:pPr>
      <w:r w:rsidRPr="00163A87">
        <w:rPr>
          <w:rFonts w:eastAsia="TimesNewRomanPSMT"/>
          <w:sz w:val="26"/>
          <w:szCs w:val="26"/>
          <w:shd w:val="clear" w:color="auto" w:fill="FFFFFF"/>
        </w:rPr>
        <w:t>Факт существования между компаниями картельных соглашений был установлен также материалами уголовного дела, которые были предоставлены следователями</w:t>
      </w:r>
      <w:r w:rsidRPr="00163A87">
        <w:rPr>
          <w:sz w:val="26"/>
          <w:szCs w:val="26"/>
        </w:rPr>
        <w:t xml:space="preserve"> СУ СК РФ по Тюменской области</w:t>
      </w:r>
      <w:r w:rsidRPr="00163A87">
        <w:rPr>
          <w:rFonts w:eastAsia="TimesNewRomanPSMT"/>
          <w:sz w:val="26"/>
          <w:szCs w:val="26"/>
          <w:shd w:val="clear" w:color="auto" w:fill="FFFFFF"/>
        </w:rPr>
        <w:t xml:space="preserve">. </w:t>
      </w:r>
    </w:p>
    <w:p w:rsidR="009D46EF" w:rsidRPr="00163A87" w:rsidRDefault="003C28FE" w:rsidP="00825C77">
      <w:pPr>
        <w:spacing w:line="276" w:lineRule="auto"/>
        <w:ind w:firstLine="567"/>
        <w:jc w:val="both"/>
        <w:rPr>
          <w:rFonts w:eastAsia="TimesNewRomanPSMT"/>
          <w:color w:val="000000"/>
          <w:sz w:val="26"/>
          <w:szCs w:val="26"/>
          <w:shd w:val="clear" w:color="auto" w:fill="FFFFFF"/>
        </w:rPr>
      </w:pPr>
      <w:r w:rsidRPr="00163A87">
        <w:rPr>
          <w:rFonts w:eastAsia="TimesNewRomanPSMT"/>
          <w:sz w:val="26"/>
          <w:szCs w:val="26"/>
          <w:shd w:val="clear" w:color="auto" w:fill="FFFFFF"/>
        </w:rPr>
        <w:t xml:space="preserve">Из представленных материалов следует, что сотрудники компаний осуществляли </w:t>
      </w:r>
      <w:r w:rsidRPr="00163A87">
        <w:rPr>
          <w:rFonts w:eastAsia="TimesNewRomanPSMT"/>
          <w:color w:val="000000"/>
          <w:sz w:val="26"/>
          <w:szCs w:val="26"/>
          <w:shd w:val="clear" w:color="auto" w:fill="FFFFFF"/>
        </w:rPr>
        <w:t xml:space="preserve">участие в торгах на электронных аукционах с помощью предоставленных им электронных ключей, зарегистрированных на руководителей компаний. При этом участвовало как минимум несколько таких компаний, чтобы со стороны не возникло подозрений в незаконность выигрыша </w:t>
      </w:r>
      <w:proofErr w:type="spellStart"/>
      <w:r w:rsidRPr="00163A87">
        <w:rPr>
          <w:rFonts w:eastAsia="TimesNewRomanPSMT"/>
          <w:color w:val="000000"/>
          <w:sz w:val="26"/>
          <w:szCs w:val="26"/>
          <w:shd w:val="clear" w:color="auto" w:fill="FFFFFF"/>
        </w:rPr>
        <w:t>госконтрактов</w:t>
      </w:r>
      <w:proofErr w:type="spellEnd"/>
      <w:r w:rsidRPr="00163A87">
        <w:rPr>
          <w:rFonts w:eastAsia="TimesNewRomanPSMT"/>
          <w:color w:val="000000"/>
          <w:sz w:val="26"/>
          <w:szCs w:val="26"/>
          <w:shd w:val="clear" w:color="auto" w:fill="FFFFFF"/>
        </w:rPr>
        <w:t xml:space="preserve">. </w:t>
      </w:r>
    </w:p>
    <w:p w:rsidR="003C28FE" w:rsidRPr="00163A87" w:rsidRDefault="003C28FE" w:rsidP="00825C77">
      <w:pPr>
        <w:spacing w:line="276" w:lineRule="auto"/>
        <w:ind w:firstLine="567"/>
        <w:jc w:val="both"/>
        <w:rPr>
          <w:rFonts w:eastAsia="TimesNewRomanPSMT"/>
          <w:color w:val="000000"/>
          <w:sz w:val="26"/>
          <w:szCs w:val="26"/>
          <w:shd w:val="clear" w:color="auto" w:fill="FFFFFF"/>
        </w:rPr>
      </w:pPr>
      <w:r w:rsidRPr="00163A87">
        <w:rPr>
          <w:rFonts w:eastAsia="TimesNewRomanPSMT"/>
          <w:color w:val="000000"/>
          <w:sz w:val="26"/>
          <w:szCs w:val="26"/>
          <w:shd w:val="clear" w:color="auto" w:fill="FFFFFF"/>
        </w:rPr>
        <w:t xml:space="preserve">Сотрудники с помощью электронных ключей участвовали с компьютеров этих компаний в электронных торгах, при этом некоторые компании уменьшали цену по контракту на незначительную сумму, чтобы не было подозрений в незаконности торгов. В </w:t>
      </w:r>
      <w:proofErr w:type="gramStart"/>
      <w:r w:rsidRPr="00163A87">
        <w:rPr>
          <w:rFonts w:eastAsia="TimesNewRomanPSMT"/>
          <w:color w:val="000000"/>
          <w:sz w:val="26"/>
          <w:szCs w:val="26"/>
          <w:shd w:val="clear" w:color="auto" w:fill="FFFFFF"/>
        </w:rPr>
        <w:t>дальнейшем</w:t>
      </w:r>
      <w:proofErr w:type="gramEnd"/>
      <w:r w:rsidRPr="00163A87">
        <w:rPr>
          <w:rFonts w:eastAsia="TimesNewRomanPSMT"/>
          <w:color w:val="000000"/>
          <w:sz w:val="26"/>
          <w:szCs w:val="26"/>
          <w:shd w:val="clear" w:color="auto" w:fill="FFFFFF"/>
        </w:rPr>
        <w:t xml:space="preserve"> одна из указанных компаний выигрывала конкурс, а сотрудники других компаний поставляли медицинское оборудование и реагенты в государственные медицинские учреждения.</w:t>
      </w:r>
    </w:p>
    <w:p w:rsidR="003C28FE" w:rsidRPr="00163A87" w:rsidRDefault="003C28FE" w:rsidP="00825C77">
      <w:pPr>
        <w:spacing w:line="276" w:lineRule="auto"/>
        <w:ind w:firstLine="720"/>
        <w:jc w:val="both"/>
        <w:rPr>
          <w:sz w:val="26"/>
          <w:szCs w:val="26"/>
        </w:rPr>
      </w:pPr>
      <w:r w:rsidRPr="00163A87">
        <w:rPr>
          <w:iCs/>
          <w:color w:val="000000"/>
          <w:sz w:val="26"/>
          <w:szCs w:val="26"/>
        </w:rPr>
        <w:t xml:space="preserve">На основании совокупности </w:t>
      </w:r>
      <w:r w:rsidR="00774382" w:rsidRPr="00163A87">
        <w:rPr>
          <w:iCs/>
          <w:color w:val="000000"/>
          <w:sz w:val="26"/>
          <w:szCs w:val="26"/>
        </w:rPr>
        <w:t>собранных доказательств, Управлением у</w:t>
      </w:r>
      <w:r w:rsidRPr="00163A87">
        <w:rPr>
          <w:iCs/>
          <w:color w:val="000000"/>
          <w:sz w:val="26"/>
          <w:szCs w:val="26"/>
        </w:rPr>
        <w:t>становлено, что перечисленные компании заключили устные соглашения, целью которых было обеспечение победы на торгах участников картеля и заключение государственных контрактов по максимально высокой цене. Реализация соглашений происходила в период с 2013 по 2015 год, в том числе путём совместного и согласованного участия в аукционах.</w:t>
      </w:r>
    </w:p>
    <w:p w:rsidR="003C28FE" w:rsidRPr="00163A87" w:rsidRDefault="003C28FE" w:rsidP="00825C77">
      <w:pPr>
        <w:spacing w:after="120" w:line="276" w:lineRule="auto"/>
        <w:ind w:firstLine="720"/>
        <w:jc w:val="both"/>
        <w:rPr>
          <w:sz w:val="26"/>
          <w:szCs w:val="26"/>
        </w:rPr>
      </w:pPr>
      <w:r w:rsidRPr="00163A87">
        <w:rPr>
          <w:bCs/>
          <w:sz w:val="26"/>
          <w:szCs w:val="26"/>
        </w:rPr>
        <w:t xml:space="preserve">В </w:t>
      </w:r>
      <w:proofErr w:type="gramStart"/>
      <w:r w:rsidRPr="00163A87">
        <w:rPr>
          <w:bCs/>
          <w:sz w:val="26"/>
          <w:szCs w:val="26"/>
        </w:rPr>
        <w:t>результате</w:t>
      </w:r>
      <w:proofErr w:type="gramEnd"/>
      <w:r w:rsidRPr="00163A87">
        <w:rPr>
          <w:bCs/>
          <w:sz w:val="26"/>
          <w:szCs w:val="26"/>
        </w:rPr>
        <w:t xml:space="preserve"> реализации картельных соглашений </w:t>
      </w:r>
      <w:r w:rsidRPr="00163A87">
        <w:rPr>
          <w:sz w:val="26"/>
          <w:szCs w:val="26"/>
        </w:rPr>
        <w:t>компаниями получен</w:t>
      </w:r>
      <w:r w:rsidRPr="00163A87">
        <w:rPr>
          <w:bCs/>
          <w:sz w:val="26"/>
          <w:szCs w:val="26"/>
        </w:rPr>
        <w:t xml:space="preserve"> </w:t>
      </w:r>
      <w:r w:rsidRPr="00163A87">
        <w:rPr>
          <w:b/>
          <w:bCs/>
          <w:sz w:val="26"/>
          <w:szCs w:val="26"/>
        </w:rPr>
        <w:t>совокупный доход</w:t>
      </w:r>
      <w:r w:rsidRPr="00163A87">
        <w:rPr>
          <w:bCs/>
          <w:sz w:val="26"/>
          <w:szCs w:val="26"/>
        </w:rPr>
        <w:t xml:space="preserve"> </w:t>
      </w:r>
      <w:r w:rsidRPr="00163A87">
        <w:rPr>
          <w:b/>
          <w:bCs/>
          <w:sz w:val="26"/>
          <w:szCs w:val="26"/>
        </w:rPr>
        <w:t xml:space="preserve">в размере </w:t>
      </w:r>
      <w:r w:rsidRPr="00163A87">
        <w:rPr>
          <w:b/>
          <w:bCs/>
          <w:color w:val="000000"/>
          <w:sz w:val="26"/>
          <w:szCs w:val="26"/>
        </w:rPr>
        <w:t>1,12 млрд.</w:t>
      </w:r>
      <w:r w:rsidRPr="00163A87">
        <w:rPr>
          <w:b/>
          <w:sz w:val="26"/>
          <w:szCs w:val="26"/>
        </w:rPr>
        <w:t xml:space="preserve"> рублей</w:t>
      </w:r>
      <w:r w:rsidRPr="00163A87">
        <w:rPr>
          <w:sz w:val="26"/>
          <w:szCs w:val="26"/>
        </w:rPr>
        <w:t>.</w:t>
      </w:r>
    </w:p>
    <w:p w:rsidR="009D46EF" w:rsidRPr="00163A87" w:rsidRDefault="009D46EF" w:rsidP="00825C77">
      <w:pPr>
        <w:spacing w:before="120" w:line="276" w:lineRule="auto"/>
        <w:ind w:firstLine="454"/>
        <w:jc w:val="both"/>
        <w:rPr>
          <w:bCs/>
          <w:sz w:val="26"/>
          <w:szCs w:val="26"/>
        </w:rPr>
      </w:pPr>
      <w:r w:rsidRPr="00163A87">
        <w:rPr>
          <w:bCs/>
          <w:sz w:val="26"/>
          <w:szCs w:val="26"/>
        </w:rPr>
        <w:t>Управлением при рассмотрении дела установлено, что ООО «ЭЛЕКТРА», ООО «СПЕКТР», ООО «ЛИВАДИЯ», ООО «Региональная медицинская компания», ООО «ИРВИН, ООО «НЕОМЕД», ООО «ЭКСПО», ООО «ВЕРДАНА» вступили в устные картельные соглашения, целью которых было обеспечение победы на торгах участников картеля и заключение государственных контрактов по максимально высокой цене. Реализация соглашений происходила в 2013-2015 гг., в том числе путём совместного и согласованного участия в исследованных аукционах.</w:t>
      </w:r>
    </w:p>
    <w:p w:rsidR="003C28FE" w:rsidRPr="00163A87" w:rsidRDefault="007E5356" w:rsidP="00825C77">
      <w:pPr>
        <w:spacing w:before="120" w:line="276" w:lineRule="auto"/>
        <w:ind w:firstLine="454"/>
        <w:jc w:val="both"/>
        <w:rPr>
          <w:bCs/>
          <w:sz w:val="26"/>
          <w:szCs w:val="26"/>
        </w:rPr>
      </w:pPr>
      <w:r w:rsidRPr="00163A87">
        <w:rPr>
          <w:sz w:val="26"/>
          <w:szCs w:val="26"/>
        </w:rPr>
        <w:t xml:space="preserve">Каждому участнику выявленных картельных соглашений выдано предписание об устранении нарушения антимонопольного законодательства. </w:t>
      </w:r>
      <w:r w:rsidR="003C28FE" w:rsidRPr="00163A87">
        <w:rPr>
          <w:bCs/>
          <w:sz w:val="26"/>
          <w:szCs w:val="26"/>
        </w:rPr>
        <w:t xml:space="preserve">Все выданные предписания  </w:t>
      </w:r>
      <w:r w:rsidR="00A037FB">
        <w:rPr>
          <w:bCs/>
          <w:sz w:val="26"/>
          <w:szCs w:val="26"/>
        </w:rPr>
        <w:t xml:space="preserve">ответчиками </w:t>
      </w:r>
      <w:r w:rsidR="003C28FE" w:rsidRPr="00163A87">
        <w:rPr>
          <w:bCs/>
          <w:sz w:val="26"/>
          <w:szCs w:val="26"/>
        </w:rPr>
        <w:t xml:space="preserve">исполнены. </w:t>
      </w:r>
    </w:p>
    <w:p w:rsidR="007F1405" w:rsidRPr="00163A87" w:rsidRDefault="007F1405" w:rsidP="007F1405">
      <w:pPr>
        <w:spacing w:line="276" w:lineRule="auto"/>
        <w:ind w:firstLine="709"/>
        <w:jc w:val="both"/>
        <w:rPr>
          <w:sz w:val="26"/>
          <w:szCs w:val="26"/>
        </w:rPr>
      </w:pPr>
      <w:r w:rsidRPr="00163A87">
        <w:rPr>
          <w:sz w:val="26"/>
          <w:szCs w:val="26"/>
        </w:rPr>
        <w:t>Участники картельного соглашения на торгах привлечены к административной ответственности. Общая сумма штрафа за заключение картельного соглашения составила</w:t>
      </w:r>
      <w:r w:rsidRPr="00163A87">
        <w:rPr>
          <w:i/>
          <w:sz w:val="26"/>
          <w:szCs w:val="26"/>
        </w:rPr>
        <w:t xml:space="preserve">  </w:t>
      </w:r>
      <w:r w:rsidRPr="00163A87">
        <w:rPr>
          <w:b/>
          <w:sz w:val="26"/>
          <w:szCs w:val="26"/>
        </w:rPr>
        <w:t>260,9 млн. рублей</w:t>
      </w:r>
      <w:r w:rsidRPr="00163A87">
        <w:rPr>
          <w:sz w:val="26"/>
          <w:szCs w:val="26"/>
        </w:rPr>
        <w:t xml:space="preserve">.  </w:t>
      </w:r>
    </w:p>
    <w:p w:rsidR="00AC4051" w:rsidRPr="007F1405" w:rsidRDefault="00AC4051" w:rsidP="00AC4051">
      <w:pPr>
        <w:spacing w:after="120" w:line="276" w:lineRule="auto"/>
        <w:ind w:firstLine="720"/>
        <w:jc w:val="both"/>
        <w:rPr>
          <w:b/>
          <w:sz w:val="26"/>
          <w:szCs w:val="26"/>
        </w:rPr>
      </w:pPr>
      <w:r w:rsidRPr="00163A87">
        <w:rPr>
          <w:sz w:val="26"/>
          <w:szCs w:val="26"/>
        </w:rPr>
        <w:t xml:space="preserve">Поскольку в действиях должностных лиц вышеуказанных компаний имеются признаки состава уголовного преступления, предусмотренного ст. 178 УК РФ («Ограничение конкуренции»), материалы указанного дела </w:t>
      </w:r>
      <w:r w:rsidRPr="007F1405">
        <w:rPr>
          <w:sz w:val="26"/>
          <w:szCs w:val="26"/>
        </w:rPr>
        <w:t>направлены Тюменским УФАС России</w:t>
      </w:r>
      <w:r w:rsidRPr="007F1405">
        <w:rPr>
          <w:b/>
          <w:sz w:val="26"/>
          <w:szCs w:val="26"/>
        </w:rPr>
        <w:t xml:space="preserve"> в правоохранительные органы. </w:t>
      </w:r>
    </w:p>
    <w:p w:rsidR="00AC4051" w:rsidRPr="00F65636" w:rsidRDefault="00AC4051" w:rsidP="00AC4051">
      <w:pPr>
        <w:autoSpaceDE w:val="0"/>
        <w:autoSpaceDN w:val="0"/>
        <w:adjustRightInd w:val="0"/>
        <w:spacing w:line="276" w:lineRule="auto"/>
        <w:ind w:firstLine="540"/>
        <w:jc w:val="both"/>
        <w:rPr>
          <w:sz w:val="27"/>
          <w:szCs w:val="27"/>
        </w:rPr>
      </w:pPr>
      <w:r w:rsidRPr="00F65636">
        <w:rPr>
          <w:sz w:val="27"/>
          <w:szCs w:val="27"/>
        </w:rPr>
        <w:t xml:space="preserve">Согласно действующей редакции статьи 178 Уголовного кодекса Российской Федерации (далее — УК РФ) уголовная ответственность наступает за ограничение конкуренции </w:t>
      </w:r>
      <w:r w:rsidR="00A037FB" w:rsidRPr="00F65636">
        <w:rPr>
          <w:sz w:val="27"/>
          <w:szCs w:val="27"/>
        </w:rPr>
        <w:t>путём</w:t>
      </w:r>
      <w:r w:rsidRPr="00F65636">
        <w:rPr>
          <w:sz w:val="27"/>
          <w:szCs w:val="27"/>
        </w:rPr>
        <w:t xml:space="preserve"> </w:t>
      </w:r>
      <w:proofErr w:type="gramStart"/>
      <w:r w:rsidRPr="00F65636">
        <w:rPr>
          <w:sz w:val="27"/>
          <w:szCs w:val="27"/>
        </w:rPr>
        <w:t>заключения</w:t>
      </w:r>
      <w:proofErr w:type="gramEnd"/>
      <w:r w:rsidRPr="00F65636">
        <w:rPr>
          <w:sz w:val="27"/>
          <w:szCs w:val="27"/>
        </w:rPr>
        <w:t xml:space="preserve"> между хозяйствующими субъектами-конкурентами ограничивающего конкуренцию соглашения (картеля), запрещённого в соответствии с антимонопольным законодательством Российской Федерации, если это деяние причинило крупный ущерб гражданам, организациям или государству либо повлекло извлечение дохода в крупном размере.</w:t>
      </w:r>
      <w:r>
        <w:rPr>
          <w:sz w:val="27"/>
          <w:szCs w:val="27"/>
        </w:rPr>
        <w:t xml:space="preserve"> </w:t>
      </w:r>
      <w:r w:rsidRPr="00F65636">
        <w:rPr>
          <w:sz w:val="27"/>
          <w:szCs w:val="27"/>
        </w:rPr>
        <w:t>При этом доходом в крупном размере в настоящей статье признается доход, сумма которого превышает пятьдесят миллионов рублей, а доходом в особо крупном размере - двести пятьдесят миллионов рублей.</w:t>
      </w:r>
    </w:p>
    <w:p w:rsidR="00B45756" w:rsidRPr="00163A87" w:rsidRDefault="00B45756" w:rsidP="004042ED">
      <w:pPr>
        <w:spacing w:before="120"/>
        <w:ind w:left="814"/>
        <w:jc w:val="both"/>
        <w:rPr>
          <w:sz w:val="26"/>
          <w:szCs w:val="26"/>
        </w:rPr>
      </w:pPr>
    </w:p>
    <w:p w:rsidR="004B5B19" w:rsidRDefault="001A6757" w:rsidP="004B5B19">
      <w:pPr>
        <w:spacing w:line="276" w:lineRule="auto"/>
        <w:ind w:firstLine="454"/>
        <w:jc w:val="both"/>
        <w:rPr>
          <w:sz w:val="26"/>
          <w:szCs w:val="26"/>
        </w:rPr>
      </w:pPr>
      <w:r w:rsidRPr="004B5B19">
        <w:rPr>
          <w:sz w:val="26"/>
          <w:szCs w:val="26"/>
        </w:rPr>
        <w:t xml:space="preserve">К числу </w:t>
      </w:r>
      <w:r w:rsidR="001D54F4" w:rsidRPr="004B5B19">
        <w:rPr>
          <w:sz w:val="26"/>
          <w:szCs w:val="26"/>
        </w:rPr>
        <w:t>положительных результатов проделанной Управлением в 2017 году работы</w:t>
      </w:r>
      <w:r w:rsidRPr="004B5B19">
        <w:rPr>
          <w:sz w:val="26"/>
          <w:szCs w:val="26"/>
        </w:rPr>
        <w:t xml:space="preserve"> можно отнести завершение процесса судебного обжалования решения Тюменского УФАС России  по делу </w:t>
      </w:r>
      <w:r w:rsidR="004B5B19" w:rsidRPr="004B5B19">
        <w:rPr>
          <w:sz w:val="22"/>
          <w:szCs w:val="16"/>
        </w:rPr>
        <w:t>№ К17/6-11</w:t>
      </w:r>
      <w:r w:rsidR="004B5B19" w:rsidRPr="004B5B19">
        <w:rPr>
          <w:sz w:val="22"/>
          <w:szCs w:val="16"/>
        </w:rPr>
        <w:t>,</w:t>
      </w:r>
      <w:r w:rsidR="004B5B19" w:rsidRPr="004B5B19">
        <w:rPr>
          <w:sz w:val="26"/>
          <w:szCs w:val="26"/>
        </w:rPr>
        <w:t xml:space="preserve"> </w:t>
      </w:r>
      <w:r w:rsidR="004B5B19" w:rsidRPr="004B5B19">
        <w:rPr>
          <w:sz w:val="26"/>
          <w:szCs w:val="26"/>
        </w:rPr>
        <w:t>возбуждённого в 201</w:t>
      </w:r>
      <w:r w:rsidR="004B5B19" w:rsidRPr="004B5B19">
        <w:rPr>
          <w:sz w:val="26"/>
          <w:szCs w:val="26"/>
        </w:rPr>
        <w:t>7</w:t>
      </w:r>
      <w:r w:rsidR="004B5B19" w:rsidRPr="004B5B19">
        <w:rPr>
          <w:sz w:val="26"/>
          <w:szCs w:val="26"/>
        </w:rPr>
        <w:t xml:space="preserve"> году по признакам заключения соглашения, ограничивающего конкуренцию в отношении дело № К17/6-11. </w:t>
      </w:r>
    </w:p>
    <w:p w:rsidR="00E30713" w:rsidRDefault="00E30713" w:rsidP="004B5B19">
      <w:pPr>
        <w:spacing w:line="276" w:lineRule="auto"/>
        <w:ind w:firstLine="454"/>
        <w:jc w:val="both"/>
        <w:rPr>
          <w:sz w:val="26"/>
          <w:szCs w:val="26"/>
        </w:rPr>
      </w:pPr>
      <w:r>
        <w:rPr>
          <w:sz w:val="26"/>
          <w:szCs w:val="26"/>
        </w:rPr>
        <w:t xml:space="preserve">Дело было возбуждено в отношении </w:t>
      </w:r>
      <w:r w:rsidRPr="004B5B19">
        <w:rPr>
          <w:sz w:val="26"/>
          <w:szCs w:val="26"/>
        </w:rPr>
        <w:t>ООО "</w:t>
      </w:r>
      <w:proofErr w:type="spellStart"/>
      <w:r w:rsidRPr="004B5B19">
        <w:rPr>
          <w:sz w:val="26"/>
          <w:szCs w:val="26"/>
        </w:rPr>
        <w:t>ОрисТехник</w:t>
      </w:r>
      <w:proofErr w:type="spellEnd"/>
      <w:r w:rsidRPr="004B5B19">
        <w:rPr>
          <w:sz w:val="26"/>
          <w:szCs w:val="26"/>
        </w:rPr>
        <w:t>", ООО "</w:t>
      </w:r>
      <w:proofErr w:type="spellStart"/>
      <w:r w:rsidRPr="004B5B19">
        <w:rPr>
          <w:sz w:val="26"/>
          <w:szCs w:val="26"/>
        </w:rPr>
        <w:t>СибтехСтандарт</w:t>
      </w:r>
      <w:proofErr w:type="spellEnd"/>
      <w:r w:rsidRPr="004B5B19">
        <w:rPr>
          <w:sz w:val="26"/>
          <w:szCs w:val="26"/>
        </w:rPr>
        <w:t>"</w:t>
      </w:r>
      <w:r>
        <w:rPr>
          <w:sz w:val="26"/>
          <w:szCs w:val="26"/>
        </w:rPr>
        <w:t xml:space="preserve"> и</w:t>
      </w:r>
      <w:r w:rsidRPr="004B5B19">
        <w:rPr>
          <w:sz w:val="26"/>
          <w:szCs w:val="26"/>
        </w:rPr>
        <w:t xml:space="preserve"> ООО "</w:t>
      </w:r>
      <w:proofErr w:type="spellStart"/>
      <w:r w:rsidRPr="004B5B19">
        <w:rPr>
          <w:sz w:val="26"/>
          <w:szCs w:val="26"/>
        </w:rPr>
        <w:t>Цертус</w:t>
      </w:r>
      <w:proofErr w:type="spellEnd"/>
      <w:r w:rsidRPr="004B5B19">
        <w:rPr>
          <w:sz w:val="26"/>
          <w:szCs w:val="26"/>
        </w:rPr>
        <w:t>"</w:t>
      </w:r>
      <w:r>
        <w:rPr>
          <w:sz w:val="26"/>
          <w:szCs w:val="26"/>
        </w:rPr>
        <w:t xml:space="preserve">  по материалам, </w:t>
      </w:r>
      <w:r>
        <w:rPr>
          <w:sz w:val="26"/>
          <w:szCs w:val="26"/>
        </w:rPr>
        <w:t xml:space="preserve">которые были получены </w:t>
      </w:r>
      <w:r w:rsidRPr="00AC4051">
        <w:rPr>
          <w:sz w:val="26"/>
          <w:szCs w:val="26"/>
        </w:rPr>
        <w:t xml:space="preserve">от правоохранительных органов (УМВД России по </w:t>
      </w:r>
      <w:proofErr w:type="spellStart"/>
      <w:r w:rsidRPr="00AC4051">
        <w:rPr>
          <w:sz w:val="26"/>
          <w:szCs w:val="26"/>
        </w:rPr>
        <w:t>г</w:t>
      </w:r>
      <w:proofErr w:type="gramStart"/>
      <w:r w:rsidRPr="00AC4051">
        <w:rPr>
          <w:sz w:val="26"/>
          <w:szCs w:val="26"/>
        </w:rPr>
        <w:t>.Т</w:t>
      </w:r>
      <w:proofErr w:type="gramEnd"/>
      <w:r w:rsidRPr="00AC4051">
        <w:rPr>
          <w:sz w:val="26"/>
          <w:szCs w:val="26"/>
        </w:rPr>
        <w:t>юмени</w:t>
      </w:r>
      <w:proofErr w:type="spellEnd"/>
      <w:r w:rsidRPr="00AC4051">
        <w:rPr>
          <w:sz w:val="26"/>
          <w:szCs w:val="26"/>
        </w:rPr>
        <w:t>), от электронных торговых площадок, а также взяты из открытых источников информации.</w:t>
      </w:r>
      <w:r>
        <w:rPr>
          <w:sz w:val="26"/>
          <w:szCs w:val="26"/>
        </w:rPr>
        <w:t xml:space="preserve"> </w:t>
      </w:r>
    </w:p>
    <w:p w:rsidR="00E30713" w:rsidRDefault="00E30713" w:rsidP="004B5B19">
      <w:pPr>
        <w:spacing w:line="276" w:lineRule="auto"/>
        <w:ind w:firstLine="454"/>
        <w:jc w:val="both"/>
        <w:rPr>
          <w:sz w:val="26"/>
          <w:szCs w:val="26"/>
        </w:rPr>
      </w:pPr>
      <w:r>
        <w:rPr>
          <w:sz w:val="26"/>
          <w:szCs w:val="26"/>
        </w:rPr>
        <w:t>По результатам рассмотрения дела в</w:t>
      </w:r>
      <w:r w:rsidR="00AC4051" w:rsidRPr="00AC4051">
        <w:rPr>
          <w:sz w:val="26"/>
          <w:szCs w:val="26"/>
        </w:rPr>
        <w:t xml:space="preserve"> действиях</w:t>
      </w:r>
      <w:r>
        <w:rPr>
          <w:sz w:val="26"/>
          <w:szCs w:val="26"/>
        </w:rPr>
        <w:t xml:space="preserve"> указанных </w:t>
      </w:r>
      <w:r w:rsidR="00AC4051" w:rsidRPr="00AC4051">
        <w:rPr>
          <w:sz w:val="26"/>
          <w:szCs w:val="26"/>
        </w:rPr>
        <w:t>участников электронных аукционов</w:t>
      </w:r>
      <w:r>
        <w:rPr>
          <w:sz w:val="26"/>
          <w:szCs w:val="26"/>
        </w:rPr>
        <w:t xml:space="preserve"> </w:t>
      </w:r>
      <w:r w:rsidR="00AC4051" w:rsidRPr="00AC4051">
        <w:rPr>
          <w:sz w:val="26"/>
          <w:szCs w:val="26"/>
        </w:rPr>
        <w:t>на поставку медицинского оборудования, изделий медицинского назначения и расходных материалов, используемых в медицине</w:t>
      </w:r>
      <w:r>
        <w:rPr>
          <w:sz w:val="26"/>
          <w:szCs w:val="26"/>
        </w:rPr>
        <w:t>, установлено наличие заключённого картельного соглашения.</w:t>
      </w:r>
    </w:p>
    <w:p w:rsidR="00AC4051" w:rsidRPr="00AC4051" w:rsidRDefault="00E30713" w:rsidP="00AC4051">
      <w:pPr>
        <w:spacing w:before="120" w:line="276" w:lineRule="auto"/>
        <w:ind w:firstLine="720"/>
        <w:jc w:val="both"/>
        <w:rPr>
          <w:sz w:val="26"/>
          <w:szCs w:val="26"/>
        </w:rPr>
      </w:pPr>
      <w:r>
        <w:rPr>
          <w:sz w:val="26"/>
          <w:szCs w:val="26"/>
        </w:rPr>
        <w:t>З</w:t>
      </w:r>
      <w:r w:rsidR="00AC4051" w:rsidRPr="00AC4051">
        <w:rPr>
          <w:sz w:val="26"/>
          <w:szCs w:val="26"/>
        </w:rPr>
        <w:t>аключение между ответчиками картельных соглашений обусловлено следующими обстоятельствами:</w:t>
      </w:r>
    </w:p>
    <w:p w:rsidR="00AC4051" w:rsidRPr="00A037FB" w:rsidRDefault="00AC4051" w:rsidP="00A037FB">
      <w:pPr>
        <w:pStyle w:val="afd"/>
        <w:numPr>
          <w:ilvl w:val="0"/>
          <w:numId w:val="24"/>
        </w:numPr>
        <w:jc w:val="both"/>
        <w:rPr>
          <w:rFonts w:ascii="Times New Roman" w:hAnsi="Times New Roman"/>
          <w:sz w:val="26"/>
          <w:szCs w:val="26"/>
        </w:rPr>
      </w:pPr>
      <w:r w:rsidRPr="00A037FB">
        <w:rPr>
          <w:rFonts w:ascii="Times New Roman" w:hAnsi="Times New Roman"/>
          <w:sz w:val="26"/>
          <w:szCs w:val="26"/>
        </w:rPr>
        <w:t>Для участия в торгах, ответчики постоянно использовали единую инфраструктуру, включающую одинаковые IP-адреса, места фактического расположения, компьютерное оборудование и т.д.</w:t>
      </w:r>
    </w:p>
    <w:p w:rsidR="00AC4051" w:rsidRPr="00A037FB" w:rsidRDefault="00AC4051" w:rsidP="00A037FB">
      <w:pPr>
        <w:pStyle w:val="afd"/>
        <w:numPr>
          <w:ilvl w:val="0"/>
          <w:numId w:val="24"/>
        </w:numPr>
        <w:jc w:val="both"/>
        <w:rPr>
          <w:rFonts w:ascii="Times New Roman" w:hAnsi="Times New Roman"/>
          <w:sz w:val="26"/>
          <w:szCs w:val="26"/>
        </w:rPr>
      </w:pPr>
      <w:r w:rsidRPr="00A037FB">
        <w:rPr>
          <w:rFonts w:ascii="Times New Roman" w:hAnsi="Times New Roman"/>
          <w:sz w:val="26"/>
          <w:szCs w:val="26"/>
        </w:rPr>
        <w:t>Первые части заявок ответчиков создаются и направляются на электронные торговые площадки одновременно или в течение небольшого промежутка времени с использованием единого оборудования.</w:t>
      </w:r>
    </w:p>
    <w:p w:rsidR="00AC4051" w:rsidRPr="00A037FB" w:rsidRDefault="00AC4051" w:rsidP="00A037FB">
      <w:pPr>
        <w:pStyle w:val="afd"/>
        <w:numPr>
          <w:ilvl w:val="0"/>
          <w:numId w:val="24"/>
        </w:numPr>
        <w:jc w:val="both"/>
        <w:rPr>
          <w:rFonts w:ascii="Times New Roman" w:hAnsi="Times New Roman"/>
          <w:sz w:val="26"/>
          <w:szCs w:val="26"/>
        </w:rPr>
      </w:pPr>
      <w:proofErr w:type="spellStart"/>
      <w:r w:rsidRPr="00A037FB">
        <w:rPr>
          <w:rFonts w:ascii="Times New Roman" w:hAnsi="Times New Roman"/>
          <w:sz w:val="26"/>
          <w:szCs w:val="26"/>
        </w:rPr>
        <w:t>Докуметны</w:t>
      </w:r>
      <w:proofErr w:type="spellEnd"/>
      <w:r w:rsidRPr="00A037FB">
        <w:rPr>
          <w:rFonts w:ascii="Times New Roman" w:hAnsi="Times New Roman"/>
          <w:sz w:val="26"/>
          <w:szCs w:val="26"/>
        </w:rPr>
        <w:t xml:space="preserve"> из вторых частей заявок ответчиков создавались и изменялись практически одновременно под одной </w:t>
      </w:r>
      <w:proofErr w:type="spellStart"/>
      <w:r w:rsidRPr="00A037FB">
        <w:rPr>
          <w:rFonts w:ascii="Times New Roman" w:hAnsi="Times New Roman"/>
          <w:sz w:val="26"/>
          <w:szCs w:val="26"/>
        </w:rPr>
        <w:t>учетной</w:t>
      </w:r>
      <w:proofErr w:type="spellEnd"/>
      <w:r w:rsidRPr="00A037FB">
        <w:rPr>
          <w:rFonts w:ascii="Times New Roman" w:hAnsi="Times New Roman"/>
          <w:sz w:val="26"/>
          <w:szCs w:val="26"/>
        </w:rPr>
        <w:t xml:space="preserve"> записью.</w:t>
      </w:r>
    </w:p>
    <w:p w:rsidR="00AC4051" w:rsidRPr="00A037FB" w:rsidRDefault="00AC4051" w:rsidP="00A037FB">
      <w:pPr>
        <w:pStyle w:val="afd"/>
        <w:numPr>
          <w:ilvl w:val="0"/>
          <w:numId w:val="24"/>
        </w:numPr>
        <w:jc w:val="both"/>
        <w:rPr>
          <w:rFonts w:ascii="Times New Roman" w:hAnsi="Times New Roman"/>
          <w:sz w:val="26"/>
          <w:szCs w:val="26"/>
        </w:rPr>
      </w:pPr>
      <w:r w:rsidRPr="00A037FB">
        <w:rPr>
          <w:rFonts w:ascii="Times New Roman" w:hAnsi="Times New Roman"/>
          <w:sz w:val="26"/>
          <w:szCs w:val="26"/>
        </w:rPr>
        <w:t>Ответчики имеют устойчивые связи (характер которых, однако, исключает их юридическую подконтрольность одному лицу).</w:t>
      </w:r>
    </w:p>
    <w:p w:rsidR="00AC4051" w:rsidRPr="00A037FB" w:rsidRDefault="00AC4051" w:rsidP="00A037FB">
      <w:pPr>
        <w:pStyle w:val="afd"/>
        <w:numPr>
          <w:ilvl w:val="0"/>
          <w:numId w:val="24"/>
        </w:numPr>
        <w:jc w:val="both"/>
        <w:rPr>
          <w:rFonts w:ascii="Times New Roman" w:hAnsi="Times New Roman"/>
          <w:sz w:val="26"/>
          <w:szCs w:val="26"/>
        </w:rPr>
      </w:pPr>
      <w:r w:rsidRPr="00A037FB">
        <w:rPr>
          <w:rFonts w:ascii="Times New Roman" w:hAnsi="Times New Roman"/>
          <w:sz w:val="26"/>
          <w:szCs w:val="26"/>
        </w:rPr>
        <w:t>Аукционы завершились с минимальным снижением цены контракта.</w:t>
      </w:r>
    </w:p>
    <w:p w:rsidR="00AC4051" w:rsidRPr="00A037FB" w:rsidRDefault="00AC4051" w:rsidP="00A037FB">
      <w:pPr>
        <w:pStyle w:val="afd"/>
        <w:numPr>
          <w:ilvl w:val="0"/>
          <w:numId w:val="24"/>
        </w:numPr>
        <w:jc w:val="both"/>
        <w:rPr>
          <w:rFonts w:ascii="Times New Roman" w:hAnsi="Times New Roman"/>
          <w:sz w:val="26"/>
          <w:szCs w:val="26"/>
        </w:rPr>
      </w:pPr>
      <w:r w:rsidRPr="00A037FB">
        <w:rPr>
          <w:rFonts w:ascii="Times New Roman" w:hAnsi="Times New Roman"/>
          <w:sz w:val="26"/>
          <w:szCs w:val="26"/>
        </w:rPr>
        <w:t>Аукционы проходили в разные периоды времени, отличались друг от друга начальной (максимальной) ценой и рядом других обстоятельств, однако, описанная выше модель поведения, состоящая из повторяющихся (аналогичных действий), однозначно прослеживается в каждом их перечисленных аукционов.</w:t>
      </w:r>
    </w:p>
    <w:p w:rsidR="00AC4051" w:rsidRPr="00A037FB" w:rsidRDefault="00AC4051" w:rsidP="00A037FB">
      <w:pPr>
        <w:pStyle w:val="afd"/>
        <w:numPr>
          <w:ilvl w:val="0"/>
          <w:numId w:val="24"/>
        </w:numPr>
        <w:jc w:val="both"/>
        <w:rPr>
          <w:rFonts w:ascii="Times New Roman" w:hAnsi="Times New Roman"/>
          <w:sz w:val="26"/>
          <w:szCs w:val="26"/>
        </w:rPr>
      </w:pPr>
      <w:r w:rsidRPr="00A037FB">
        <w:rPr>
          <w:rFonts w:ascii="Times New Roman" w:hAnsi="Times New Roman"/>
          <w:sz w:val="26"/>
          <w:szCs w:val="26"/>
        </w:rPr>
        <w:t>При участии в других аукционах и при наличии других участников ответчики активно торгуются, существенно снижая цену контракта.</w:t>
      </w:r>
    </w:p>
    <w:p w:rsidR="00AC4051" w:rsidRPr="00AC4051" w:rsidRDefault="00AC4051" w:rsidP="00AC4051">
      <w:pPr>
        <w:spacing w:before="120" w:line="276" w:lineRule="auto"/>
        <w:ind w:firstLine="720"/>
        <w:jc w:val="both"/>
        <w:rPr>
          <w:sz w:val="26"/>
          <w:szCs w:val="26"/>
        </w:rPr>
      </w:pPr>
      <w:r w:rsidRPr="00AC4051">
        <w:rPr>
          <w:sz w:val="26"/>
          <w:szCs w:val="26"/>
        </w:rPr>
        <w:t>Фактические действия участников Соглашения подтверждаются их поведением в ходе подготовки и участия в исследованных аукционах.</w:t>
      </w:r>
    </w:p>
    <w:p w:rsidR="00E30713" w:rsidRDefault="00CE40C0" w:rsidP="00AC4051">
      <w:pPr>
        <w:spacing w:before="120" w:line="276" w:lineRule="auto"/>
        <w:ind w:firstLine="720"/>
        <w:jc w:val="both"/>
        <w:rPr>
          <w:sz w:val="26"/>
          <w:szCs w:val="26"/>
        </w:rPr>
      </w:pPr>
      <w:r>
        <w:rPr>
          <w:sz w:val="26"/>
          <w:szCs w:val="26"/>
        </w:rPr>
        <w:t>На основании с</w:t>
      </w:r>
      <w:r w:rsidR="00AC4051" w:rsidRPr="00AC4051">
        <w:rPr>
          <w:sz w:val="26"/>
          <w:szCs w:val="26"/>
        </w:rPr>
        <w:t>овокупност</w:t>
      </w:r>
      <w:r>
        <w:rPr>
          <w:sz w:val="26"/>
          <w:szCs w:val="26"/>
        </w:rPr>
        <w:t>и</w:t>
      </w:r>
      <w:r w:rsidR="00AC4051" w:rsidRPr="00AC4051">
        <w:rPr>
          <w:sz w:val="26"/>
          <w:szCs w:val="26"/>
        </w:rPr>
        <w:t xml:space="preserve"> всех установленных фактов, </w:t>
      </w:r>
      <w:r>
        <w:rPr>
          <w:sz w:val="26"/>
          <w:szCs w:val="26"/>
        </w:rPr>
        <w:t>управлением установлено, что</w:t>
      </w:r>
      <w:r w:rsidR="00AC4051" w:rsidRPr="00AC4051">
        <w:rPr>
          <w:sz w:val="26"/>
          <w:szCs w:val="26"/>
        </w:rPr>
        <w:t xml:space="preserve"> </w:t>
      </w:r>
      <w:r w:rsidR="00E30713" w:rsidRPr="00AC4051">
        <w:rPr>
          <w:sz w:val="26"/>
          <w:szCs w:val="26"/>
        </w:rPr>
        <w:t>ООО «</w:t>
      </w:r>
      <w:proofErr w:type="spellStart"/>
      <w:r w:rsidR="00E30713" w:rsidRPr="00AC4051">
        <w:rPr>
          <w:sz w:val="26"/>
          <w:szCs w:val="26"/>
        </w:rPr>
        <w:t>ОрисТехник</w:t>
      </w:r>
      <w:proofErr w:type="spellEnd"/>
      <w:r w:rsidR="00E30713" w:rsidRPr="00AC4051">
        <w:rPr>
          <w:sz w:val="26"/>
          <w:szCs w:val="26"/>
        </w:rPr>
        <w:t>»</w:t>
      </w:r>
      <w:r w:rsidR="00E30713">
        <w:rPr>
          <w:sz w:val="26"/>
          <w:szCs w:val="26"/>
        </w:rPr>
        <w:t xml:space="preserve">, </w:t>
      </w:r>
      <w:r w:rsidR="00AC4051" w:rsidRPr="00AC4051">
        <w:rPr>
          <w:sz w:val="26"/>
          <w:szCs w:val="26"/>
        </w:rPr>
        <w:t>ООО «</w:t>
      </w:r>
      <w:proofErr w:type="spellStart"/>
      <w:r w:rsidR="00AC4051" w:rsidRPr="00AC4051">
        <w:rPr>
          <w:sz w:val="26"/>
          <w:szCs w:val="26"/>
        </w:rPr>
        <w:t>Сибтехстандарт</w:t>
      </w:r>
      <w:proofErr w:type="spellEnd"/>
      <w:r w:rsidR="00AC4051" w:rsidRPr="00AC4051">
        <w:rPr>
          <w:sz w:val="26"/>
          <w:szCs w:val="26"/>
        </w:rPr>
        <w:t>»</w:t>
      </w:r>
      <w:r w:rsidR="00E30713">
        <w:rPr>
          <w:sz w:val="26"/>
          <w:szCs w:val="26"/>
        </w:rPr>
        <w:t xml:space="preserve"> и</w:t>
      </w:r>
      <w:r w:rsidR="00AC4051" w:rsidRPr="00AC4051">
        <w:rPr>
          <w:sz w:val="26"/>
          <w:szCs w:val="26"/>
        </w:rPr>
        <w:t xml:space="preserve"> ООО «</w:t>
      </w:r>
      <w:proofErr w:type="spellStart"/>
      <w:r w:rsidR="00AC4051" w:rsidRPr="00AC4051">
        <w:rPr>
          <w:sz w:val="26"/>
          <w:szCs w:val="26"/>
        </w:rPr>
        <w:t>Цертус</w:t>
      </w:r>
      <w:proofErr w:type="spellEnd"/>
      <w:r w:rsidR="00E30713">
        <w:rPr>
          <w:sz w:val="26"/>
          <w:szCs w:val="26"/>
        </w:rPr>
        <w:t>»</w:t>
      </w:r>
      <w:r>
        <w:rPr>
          <w:sz w:val="26"/>
          <w:szCs w:val="26"/>
        </w:rPr>
        <w:t xml:space="preserve"> нарушен </w:t>
      </w:r>
      <w:r w:rsidR="00E30713">
        <w:rPr>
          <w:sz w:val="26"/>
          <w:szCs w:val="26"/>
        </w:rPr>
        <w:t xml:space="preserve"> </w:t>
      </w:r>
      <w:r w:rsidR="00AA0A21" w:rsidRPr="00AC4051">
        <w:rPr>
          <w:sz w:val="26"/>
          <w:szCs w:val="26"/>
        </w:rPr>
        <w:t>установленны</w:t>
      </w:r>
      <w:r w:rsidR="00AA0A21">
        <w:rPr>
          <w:sz w:val="26"/>
          <w:szCs w:val="26"/>
        </w:rPr>
        <w:t xml:space="preserve">й в </w:t>
      </w:r>
      <w:r w:rsidR="00AA0A21" w:rsidRPr="00AC4051">
        <w:rPr>
          <w:sz w:val="26"/>
          <w:szCs w:val="26"/>
        </w:rPr>
        <w:t xml:space="preserve"> п. 2 ч. 1 ст. 11 Закона о защите конкуренции</w:t>
      </w:r>
      <w:r w:rsidR="00AA0A21" w:rsidRPr="00AC4051">
        <w:rPr>
          <w:sz w:val="26"/>
          <w:szCs w:val="26"/>
        </w:rPr>
        <w:t xml:space="preserve"> </w:t>
      </w:r>
      <w:r w:rsidR="00AC4051" w:rsidRPr="00AC4051">
        <w:rPr>
          <w:sz w:val="26"/>
          <w:szCs w:val="26"/>
        </w:rPr>
        <w:t xml:space="preserve">запрет. </w:t>
      </w:r>
    </w:p>
    <w:p w:rsidR="004B5B19" w:rsidRPr="004B5B19" w:rsidRDefault="00CE40C0" w:rsidP="00E30713">
      <w:pPr>
        <w:spacing w:before="120" w:line="276" w:lineRule="auto"/>
        <w:ind w:firstLine="720"/>
        <w:jc w:val="both"/>
        <w:rPr>
          <w:sz w:val="26"/>
          <w:szCs w:val="26"/>
        </w:rPr>
      </w:pPr>
      <w:r w:rsidRPr="004B5B19">
        <w:rPr>
          <w:sz w:val="26"/>
          <w:szCs w:val="26"/>
        </w:rPr>
        <w:t>ООО "</w:t>
      </w:r>
      <w:proofErr w:type="spellStart"/>
      <w:r w:rsidRPr="004B5B19">
        <w:rPr>
          <w:sz w:val="26"/>
          <w:szCs w:val="26"/>
        </w:rPr>
        <w:t>СибтехСтандарт</w:t>
      </w:r>
      <w:proofErr w:type="spellEnd"/>
      <w:r w:rsidRPr="004B5B19">
        <w:rPr>
          <w:sz w:val="26"/>
          <w:szCs w:val="26"/>
        </w:rPr>
        <w:t>", ООО "</w:t>
      </w:r>
      <w:proofErr w:type="spellStart"/>
      <w:r w:rsidRPr="004B5B19">
        <w:rPr>
          <w:sz w:val="26"/>
          <w:szCs w:val="26"/>
        </w:rPr>
        <w:t>Цертус</w:t>
      </w:r>
      <w:proofErr w:type="spellEnd"/>
      <w:r w:rsidRPr="004B5B19">
        <w:rPr>
          <w:sz w:val="26"/>
          <w:szCs w:val="26"/>
        </w:rPr>
        <w:t>"</w:t>
      </w:r>
      <w:r>
        <w:rPr>
          <w:sz w:val="26"/>
          <w:szCs w:val="26"/>
        </w:rPr>
        <w:t xml:space="preserve"> на момент завершения рассмотрения дела были ликвидированы, соответственно предписания они не получили.</w:t>
      </w:r>
      <w:r>
        <w:rPr>
          <w:sz w:val="26"/>
          <w:szCs w:val="26"/>
        </w:rPr>
        <w:t xml:space="preserve"> </w:t>
      </w:r>
      <w:r w:rsidR="00E30713">
        <w:rPr>
          <w:sz w:val="26"/>
          <w:szCs w:val="26"/>
        </w:rPr>
        <w:t>П</w:t>
      </w:r>
      <w:r w:rsidR="00E30713">
        <w:rPr>
          <w:sz w:val="26"/>
          <w:szCs w:val="26"/>
        </w:rPr>
        <w:t>редписание</w:t>
      </w:r>
      <w:r w:rsidR="00E30713">
        <w:rPr>
          <w:sz w:val="26"/>
          <w:szCs w:val="26"/>
        </w:rPr>
        <w:t>, в</w:t>
      </w:r>
      <w:r w:rsidR="004B5B19">
        <w:rPr>
          <w:sz w:val="26"/>
          <w:szCs w:val="26"/>
        </w:rPr>
        <w:t>ыданное ООО «</w:t>
      </w:r>
      <w:proofErr w:type="spellStart"/>
      <w:r w:rsidR="004B5B19">
        <w:rPr>
          <w:sz w:val="26"/>
          <w:szCs w:val="26"/>
        </w:rPr>
        <w:t>О</w:t>
      </w:r>
      <w:r w:rsidR="00E30713">
        <w:rPr>
          <w:sz w:val="26"/>
          <w:szCs w:val="26"/>
        </w:rPr>
        <w:t>рис</w:t>
      </w:r>
      <w:r w:rsidR="004B5B19">
        <w:rPr>
          <w:sz w:val="26"/>
          <w:szCs w:val="26"/>
        </w:rPr>
        <w:t>Техник</w:t>
      </w:r>
      <w:proofErr w:type="spellEnd"/>
      <w:r w:rsidR="004B5B19">
        <w:rPr>
          <w:sz w:val="26"/>
          <w:szCs w:val="26"/>
        </w:rPr>
        <w:t>»</w:t>
      </w:r>
      <w:r w:rsidR="00E30713">
        <w:rPr>
          <w:sz w:val="26"/>
          <w:szCs w:val="26"/>
        </w:rPr>
        <w:t>,</w:t>
      </w:r>
      <w:r w:rsidR="004B5B19">
        <w:rPr>
          <w:sz w:val="26"/>
          <w:szCs w:val="26"/>
        </w:rPr>
        <w:t xml:space="preserve"> исполнено. </w:t>
      </w:r>
    </w:p>
    <w:p w:rsidR="004B5B19" w:rsidRDefault="00E30713" w:rsidP="00CE40C0">
      <w:pPr>
        <w:shd w:val="clear" w:color="auto" w:fill="FFFFFF"/>
        <w:spacing w:line="276" w:lineRule="auto"/>
        <w:ind w:firstLine="708"/>
        <w:jc w:val="both"/>
        <w:textAlignment w:val="top"/>
        <w:rPr>
          <w:sz w:val="26"/>
          <w:szCs w:val="26"/>
        </w:rPr>
      </w:pPr>
      <w:r>
        <w:rPr>
          <w:bCs/>
          <w:sz w:val="27"/>
          <w:szCs w:val="27"/>
        </w:rPr>
        <w:t>Управлением у</w:t>
      </w:r>
      <w:r w:rsidR="00AC4051">
        <w:rPr>
          <w:bCs/>
          <w:sz w:val="27"/>
          <w:szCs w:val="27"/>
        </w:rPr>
        <w:t>становлено, что п</w:t>
      </w:r>
      <w:r w:rsidR="00F65636" w:rsidRPr="00F65636">
        <w:rPr>
          <w:bCs/>
          <w:sz w:val="27"/>
          <w:szCs w:val="27"/>
        </w:rPr>
        <w:t xml:space="preserve">ри реализации </w:t>
      </w:r>
      <w:r w:rsidR="00AC4051">
        <w:rPr>
          <w:bCs/>
          <w:sz w:val="27"/>
          <w:szCs w:val="27"/>
        </w:rPr>
        <w:t>с</w:t>
      </w:r>
      <w:r w:rsidR="00F65636" w:rsidRPr="00F65636">
        <w:rPr>
          <w:bCs/>
          <w:sz w:val="27"/>
          <w:szCs w:val="27"/>
        </w:rPr>
        <w:t xml:space="preserve">оглашения общий доход </w:t>
      </w:r>
      <w:r w:rsidR="00F65636" w:rsidRPr="00F65636">
        <w:rPr>
          <w:sz w:val="27"/>
          <w:szCs w:val="27"/>
        </w:rPr>
        <w:t>ответчиков</w:t>
      </w:r>
      <w:r w:rsidR="00F65636" w:rsidRPr="00F65636">
        <w:rPr>
          <w:bCs/>
          <w:sz w:val="27"/>
          <w:szCs w:val="27"/>
        </w:rPr>
        <w:t xml:space="preserve"> в результате заключения государственных контрактов составил 231</w:t>
      </w:r>
      <w:r w:rsidR="00F65636">
        <w:rPr>
          <w:bCs/>
          <w:sz w:val="27"/>
          <w:szCs w:val="27"/>
        </w:rPr>
        <w:t> </w:t>
      </w:r>
      <w:r w:rsidR="00F65636" w:rsidRPr="00F65636">
        <w:rPr>
          <w:bCs/>
          <w:sz w:val="27"/>
          <w:szCs w:val="27"/>
        </w:rPr>
        <w:t>011</w:t>
      </w:r>
      <w:r w:rsidR="00F65636" w:rsidRPr="00F65636">
        <w:rPr>
          <w:sz w:val="27"/>
          <w:szCs w:val="27"/>
        </w:rPr>
        <w:t xml:space="preserve"> </w:t>
      </w:r>
      <w:r w:rsidR="00F65636">
        <w:rPr>
          <w:sz w:val="27"/>
          <w:szCs w:val="27"/>
        </w:rPr>
        <w:t>тыс. рублей</w:t>
      </w:r>
      <w:r w:rsidR="00F65636" w:rsidRPr="00F65636">
        <w:rPr>
          <w:sz w:val="27"/>
          <w:szCs w:val="27"/>
        </w:rPr>
        <w:t>.</w:t>
      </w:r>
      <w:r w:rsidR="00CE40C0">
        <w:rPr>
          <w:sz w:val="27"/>
          <w:szCs w:val="27"/>
        </w:rPr>
        <w:t xml:space="preserve"> </w:t>
      </w:r>
      <w:r w:rsidR="00F65636" w:rsidRPr="00F65636">
        <w:rPr>
          <w:sz w:val="27"/>
          <w:szCs w:val="27"/>
        </w:rPr>
        <w:t xml:space="preserve">В связи с чем, материалы дела </w:t>
      </w:r>
      <w:r w:rsidR="00F65636">
        <w:rPr>
          <w:sz w:val="27"/>
          <w:szCs w:val="27"/>
        </w:rPr>
        <w:t>направлены в</w:t>
      </w:r>
      <w:r w:rsidR="00F65636" w:rsidRPr="00F65636">
        <w:rPr>
          <w:sz w:val="27"/>
          <w:szCs w:val="27"/>
        </w:rPr>
        <w:t xml:space="preserve"> Прокуратуру Тюменской области для решения вопроса о возбуждении </w:t>
      </w:r>
      <w:r w:rsidR="00F65636">
        <w:rPr>
          <w:sz w:val="27"/>
          <w:szCs w:val="27"/>
        </w:rPr>
        <w:t xml:space="preserve">в отношении должностных лиц, </w:t>
      </w:r>
      <w:r w:rsidR="00F65636" w:rsidRPr="00F65636">
        <w:rPr>
          <w:sz w:val="27"/>
          <w:szCs w:val="27"/>
        </w:rPr>
        <w:t>выполнявших управленческие функции в ООО «</w:t>
      </w:r>
      <w:proofErr w:type="spellStart"/>
      <w:r w:rsidR="00F65636" w:rsidRPr="00F65636">
        <w:rPr>
          <w:sz w:val="27"/>
          <w:szCs w:val="27"/>
        </w:rPr>
        <w:t>ОрисТехник</w:t>
      </w:r>
      <w:proofErr w:type="spellEnd"/>
      <w:r w:rsidR="00F65636" w:rsidRPr="00F65636">
        <w:rPr>
          <w:sz w:val="27"/>
          <w:szCs w:val="27"/>
        </w:rPr>
        <w:t xml:space="preserve">» </w:t>
      </w:r>
      <w:r w:rsidR="00F65636" w:rsidRPr="00F65636">
        <w:rPr>
          <w:sz w:val="27"/>
          <w:szCs w:val="27"/>
        </w:rPr>
        <w:t xml:space="preserve">уголовного дела по признакам состава преступления, предусмотренного </w:t>
      </w:r>
      <w:proofErr w:type="spellStart"/>
      <w:r w:rsidR="00F65636" w:rsidRPr="00F65636">
        <w:rPr>
          <w:sz w:val="27"/>
          <w:szCs w:val="27"/>
        </w:rPr>
        <w:t>статьей</w:t>
      </w:r>
      <w:proofErr w:type="spellEnd"/>
      <w:r w:rsidR="00F65636" w:rsidRPr="00F65636">
        <w:rPr>
          <w:sz w:val="27"/>
          <w:szCs w:val="27"/>
        </w:rPr>
        <w:t xml:space="preserve"> 178  УК РФ</w:t>
      </w:r>
      <w:r w:rsidR="00F65636">
        <w:rPr>
          <w:sz w:val="27"/>
          <w:szCs w:val="27"/>
        </w:rPr>
        <w:t>.</w:t>
      </w:r>
    </w:p>
    <w:p w:rsidR="008123A2" w:rsidRPr="00CE40C0" w:rsidRDefault="00CE40C0" w:rsidP="00CE40C0">
      <w:pPr>
        <w:widowControl w:val="0"/>
        <w:spacing w:line="276" w:lineRule="auto"/>
        <w:ind w:firstLine="709"/>
        <w:jc w:val="both"/>
        <w:rPr>
          <w:b/>
          <w:sz w:val="26"/>
          <w:szCs w:val="26"/>
        </w:rPr>
      </w:pPr>
      <w:r w:rsidRPr="00163A87">
        <w:rPr>
          <w:sz w:val="26"/>
          <w:szCs w:val="26"/>
        </w:rPr>
        <w:t>Участник картельного соглашения на торгах</w:t>
      </w:r>
      <w:r>
        <w:rPr>
          <w:sz w:val="26"/>
          <w:szCs w:val="26"/>
        </w:rPr>
        <w:t xml:space="preserve"> -</w:t>
      </w:r>
      <w:r w:rsidRPr="00163A87">
        <w:rPr>
          <w:sz w:val="26"/>
          <w:szCs w:val="26"/>
        </w:rPr>
        <w:t xml:space="preserve"> </w:t>
      </w:r>
      <w:r w:rsidRPr="00CE40C0">
        <w:rPr>
          <w:sz w:val="26"/>
          <w:szCs w:val="26"/>
        </w:rPr>
        <w:t>ООО «</w:t>
      </w:r>
      <w:proofErr w:type="spellStart"/>
      <w:r w:rsidRPr="00CE40C0">
        <w:rPr>
          <w:sz w:val="26"/>
          <w:szCs w:val="26"/>
        </w:rPr>
        <w:t>ОрисТехник</w:t>
      </w:r>
      <w:proofErr w:type="spellEnd"/>
      <w:r w:rsidRPr="00CE40C0">
        <w:rPr>
          <w:sz w:val="26"/>
          <w:szCs w:val="26"/>
        </w:rPr>
        <w:t xml:space="preserve">» </w:t>
      </w:r>
      <w:r w:rsidRPr="00163A87">
        <w:rPr>
          <w:sz w:val="26"/>
          <w:szCs w:val="26"/>
        </w:rPr>
        <w:t>привлечён</w:t>
      </w:r>
      <w:r w:rsidRPr="00163A87">
        <w:rPr>
          <w:sz w:val="26"/>
          <w:szCs w:val="26"/>
        </w:rPr>
        <w:t xml:space="preserve"> к административной ответственности</w:t>
      </w:r>
      <w:r>
        <w:rPr>
          <w:sz w:val="26"/>
          <w:szCs w:val="26"/>
        </w:rPr>
        <w:t xml:space="preserve">, </w:t>
      </w:r>
      <w:r w:rsidRPr="00CE40C0">
        <w:rPr>
          <w:b/>
          <w:sz w:val="26"/>
          <w:szCs w:val="26"/>
        </w:rPr>
        <w:t xml:space="preserve">штраф составил 22 155,8 </w:t>
      </w:r>
      <w:proofErr w:type="spellStart"/>
      <w:proofErr w:type="gramStart"/>
      <w:r w:rsidRPr="00CE40C0">
        <w:rPr>
          <w:b/>
          <w:sz w:val="26"/>
          <w:szCs w:val="26"/>
        </w:rPr>
        <w:t>тыс</w:t>
      </w:r>
      <w:proofErr w:type="spellEnd"/>
      <w:proofErr w:type="gramEnd"/>
      <w:r w:rsidRPr="00CE40C0">
        <w:rPr>
          <w:b/>
          <w:sz w:val="26"/>
          <w:szCs w:val="26"/>
        </w:rPr>
        <w:t xml:space="preserve"> рублей.</w:t>
      </w:r>
    </w:p>
    <w:p w:rsidR="008216A4" w:rsidRDefault="008216A4" w:rsidP="00CE40C0">
      <w:pPr>
        <w:widowControl w:val="0"/>
        <w:spacing w:line="276" w:lineRule="auto"/>
        <w:ind w:firstLine="709"/>
        <w:jc w:val="both"/>
        <w:rPr>
          <w:sz w:val="26"/>
          <w:szCs w:val="26"/>
        </w:rPr>
      </w:pPr>
    </w:p>
    <w:p w:rsidR="00CE40C0" w:rsidRPr="00CE40C0" w:rsidRDefault="008123A2" w:rsidP="00CE40C0">
      <w:pPr>
        <w:widowControl w:val="0"/>
        <w:spacing w:line="276" w:lineRule="auto"/>
        <w:ind w:firstLine="709"/>
        <w:jc w:val="both"/>
        <w:rPr>
          <w:sz w:val="26"/>
          <w:szCs w:val="26"/>
        </w:rPr>
      </w:pPr>
      <w:r w:rsidRPr="00CE40C0">
        <w:rPr>
          <w:sz w:val="26"/>
          <w:szCs w:val="26"/>
        </w:rPr>
        <w:t>Таким образом, в</w:t>
      </w:r>
      <w:r w:rsidR="004B5B19" w:rsidRPr="004B5B19">
        <w:rPr>
          <w:sz w:val="26"/>
          <w:szCs w:val="26"/>
        </w:rPr>
        <w:t xml:space="preserve"> 2017 году в правоохранительные органы Тюменским УФАС России были направлены два сообщения о признаках совершенного на торгах преступления, предусмотренного ст.178 УК РФ. </w:t>
      </w:r>
    </w:p>
    <w:p w:rsidR="004B5B19" w:rsidRPr="004B5B19" w:rsidRDefault="004B5B19" w:rsidP="00CE40C0">
      <w:pPr>
        <w:widowControl w:val="0"/>
        <w:spacing w:line="276" w:lineRule="auto"/>
        <w:ind w:firstLine="709"/>
        <w:jc w:val="both"/>
        <w:rPr>
          <w:sz w:val="26"/>
          <w:szCs w:val="26"/>
        </w:rPr>
      </w:pPr>
      <w:r w:rsidRPr="004B5B19">
        <w:rPr>
          <w:sz w:val="26"/>
          <w:szCs w:val="26"/>
        </w:rPr>
        <w:t xml:space="preserve">В 2018 году </w:t>
      </w:r>
      <w:r w:rsidR="00CE40C0" w:rsidRPr="00CE40C0">
        <w:rPr>
          <w:sz w:val="26"/>
          <w:szCs w:val="26"/>
        </w:rPr>
        <w:t xml:space="preserve">на основании материалов, направленных  </w:t>
      </w:r>
      <w:r w:rsidRPr="004B5B19">
        <w:rPr>
          <w:sz w:val="26"/>
          <w:szCs w:val="26"/>
        </w:rPr>
        <w:t xml:space="preserve">управлением в правоохранительные органы </w:t>
      </w:r>
      <w:r w:rsidR="00465893" w:rsidRPr="00CE40C0">
        <w:rPr>
          <w:sz w:val="26"/>
          <w:szCs w:val="26"/>
        </w:rPr>
        <w:t>был</w:t>
      </w:r>
      <w:r w:rsidR="00CE40C0" w:rsidRPr="00CE40C0">
        <w:rPr>
          <w:sz w:val="26"/>
          <w:szCs w:val="26"/>
        </w:rPr>
        <w:t xml:space="preserve">о </w:t>
      </w:r>
      <w:r w:rsidR="00CE40C0" w:rsidRPr="00D864DB">
        <w:rPr>
          <w:b/>
          <w:sz w:val="26"/>
          <w:szCs w:val="26"/>
        </w:rPr>
        <w:t>возбуждено уголовное</w:t>
      </w:r>
      <w:r w:rsidR="00465893" w:rsidRPr="00D864DB">
        <w:rPr>
          <w:b/>
          <w:sz w:val="26"/>
          <w:szCs w:val="26"/>
        </w:rPr>
        <w:t xml:space="preserve"> де</w:t>
      </w:r>
      <w:r w:rsidR="00CE40C0" w:rsidRPr="00D864DB">
        <w:rPr>
          <w:b/>
          <w:sz w:val="26"/>
          <w:szCs w:val="26"/>
        </w:rPr>
        <w:t>ло</w:t>
      </w:r>
      <w:r w:rsidR="00465893" w:rsidRPr="00D864DB">
        <w:rPr>
          <w:b/>
          <w:sz w:val="26"/>
          <w:szCs w:val="26"/>
        </w:rPr>
        <w:t xml:space="preserve"> по ст.178 УК РФ</w:t>
      </w:r>
      <w:r w:rsidR="00465893" w:rsidRPr="00CE40C0">
        <w:rPr>
          <w:sz w:val="26"/>
          <w:szCs w:val="26"/>
        </w:rPr>
        <w:t xml:space="preserve"> в отношении должно</w:t>
      </w:r>
      <w:r w:rsidR="00CE40C0" w:rsidRPr="00CE40C0">
        <w:rPr>
          <w:sz w:val="26"/>
          <w:szCs w:val="26"/>
        </w:rPr>
        <w:t>стного</w:t>
      </w:r>
      <w:r w:rsidR="00465893" w:rsidRPr="00CE40C0">
        <w:rPr>
          <w:sz w:val="26"/>
          <w:szCs w:val="26"/>
        </w:rPr>
        <w:t xml:space="preserve"> лиц</w:t>
      </w:r>
      <w:r w:rsidR="00CE40C0" w:rsidRPr="00CE40C0">
        <w:rPr>
          <w:sz w:val="26"/>
          <w:szCs w:val="26"/>
        </w:rPr>
        <w:t>, осуществляющего управление О</w:t>
      </w:r>
      <w:r w:rsidRPr="004B5B19">
        <w:rPr>
          <w:sz w:val="26"/>
          <w:szCs w:val="26"/>
        </w:rPr>
        <w:t>ОО НПО «</w:t>
      </w:r>
      <w:proofErr w:type="spellStart"/>
      <w:r w:rsidRPr="004B5B19">
        <w:rPr>
          <w:sz w:val="26"/>
          <w:szCs w:val="26"/>
        </w:rPr>
        <w:t>Фундаментстройаркос</w:t>
      </w:r>
      <w:proofErr w:type="spellEnd"/>
      <w:r w:rsidRPr="004B5B19">
        <w:rPr>
          <w:sz w:val="26"/>
          <w:szCs w:val="26"/>
        </w:rPr>
        <w:t>».</w:t>
      </w:r>
    </w:p>
    <w:p w:rsidR="00D864DB" w:rsidRDefault="00D864DB" w:rsidP="008216A4">
      <w:pPr>
        <w:widowControl w:val="0"/>
        <w:spacing w:line="276" w:lineRule="auto"/>
        <w:ind w:firstLine="709"/>
        <w:jc w:val="both"/>
        <w:rPr>
          <w:sz w:val="26"/>
          <w:szCs w:val="26"/>
        </w:rPr>
      </w:pPr>
    </w:p>
    <w:p w:rsidR="008216A4" w:rsidRPr="00A22D8E" w:rsidRDefault="00D864DB" w:rsidP="00A22D8E">
      <w:pPr>
        <w:widowControl w:val="0"/>
        <w:spacing w:line="276" w:lineRule="auto"/>
        <w:ind w:firstLine="709"/>
        <w:jc w:val="both"/>
        <w:rPr>
          <w:sz w:val="26"/>
          <w:szCs w:val="26"/>
        </w:rPr>
      </w:pPr>
      <w:r w:rsidRPr="00A22D8E">
        <w:rPr>
          <w:sz w:val="26"/>
          <w:szCs w:val="26"/>
        </w:rPr>
        <w:t>О</w:t>
      </w:r>
      <w:r w:rsidRPr="00A22D8E">
        <w:rPr>
          <w:sz w:val="26"/>
          <w:szCs w:val="26"/>
        </w:rPr>
        <w:t>ОО НПО «</w:t>
      </w:r>
      <w:proofErr w:type="spellStart"/>
      <w:r w:rsidRPr="00A22D8E">
        <w:rPr>
          <w:sz w:val="26"/>
          <w:szCs w:val="26"/>
        </w:rPr>
        <w:t>Фундаментстройаркос</w:t>
      </w:r>
      <w:proofErr w:type="spellEnd"/>
      <w:r w:rsidRPr="00A22D8E">
        <w:rPr>
          <w:sz w:val="26"/>
          <w:szCs w:val="26"/>
        </w:rPr>
        <w:t>» и ООО «</w:t>
      </w:r>
      <w:proofErr w:type="spellStart"/>
      <w:r w:rsidRPr="00A22D8E">
        <w:rPr>
          <w:sz w:val="26"/>
          <w:szCs w:val="26"/>
        </w:rPr>
        <w:t>Конар</w:t>
      </w:r>
      <w:proofErr w:type="spellEnd"/>
      <w:r w:rsidRPr="00A22D8E">
        <w:rPr>
          <w:sz w:val="26"/>
          <w:szCs w:val="26"/>
        </w:rPr>
        <w:t xml:space="preserve">» были привлечены к </w:t>
      </w:r>
      <w:proofErr w:type="gramStart"/>
      <w:r w:rsidRPr="00A22D8E">
        <w:rPr>
          <w:sz w:val="26"/>
          <w:szCs w:val="26"/>
        </w:rPr>
        <w:t>качестве</w:t>
      </w:r>
      <w:proofErr w:type="gramEnd"/>
      <w:r w:rsidRPr="00A22D8E">
        <w:rPr>
          <w:sz w:val="26"/>
          <w:szCs w:val="26"/>
        </w:rPr>
        <w:t xml:space="preserve"> ответчиков по </w:t>
      </w:r>
      <w:r w:rsidR="008216A4" w:rsidRPr="00A22D8E">
        <w:rPr>
          <w:sz w:val="26"/>
          <w:szCs w:val="26"/>
        </w:rPr>
        <w:t>дел</w:t>
      </w:r>
      <w:r w:rsidRPr="00A22D8E">
        <w:rPr>
          <w:sz w:val="26"/>
          <w:szCs w:val="26"/>
        </w:rPr>
        <w:t xml:space="preserve">у </w:t>
      </w:r>
      <w:r w:rsidR="008216A4" w:rsidRPr="00A22D8E">
        <w:rPr>
          <w:sz w:val="26"/>
          <w:szCs w:val="26"/>
        </w:rPr>
        <w:t>К17/11-11 о нарушении антимонопольного законодательства,</w:t>
      </w:r>
      <w:r w:rsidRPr="00A22D8E">
        <w:rPr>
          <w:sz w:val="26"/>
          <w:szCs w:val="26"/>
        </w:rPr>
        <w:t xml:space="preserve"> рассмотрение которого </w:t>
      </w:r>
      <w:r w:rsidR="008216A4" w:rsidRPr="00A22D8E">
        <w:rPr>
          <w:sz w:val="26"/>
          <w:szCs w:val="26"/>
        </w:rPr>
        <w:t xml:space="preserve"> </w:t>
      </w:r>
      <w:r w:rsidRPr="00A22D8E">
        <w:rPr>
          <w:sz w:val="26"/>
          <w:szCs w:val="26"/>
        </w:rPr>
        <w:t xml:space="preserve">завершено </w:t>
      </w:r>
      <w:r w:rsidRPr="00A22D8E">
        <w:rPr>
          <w:sz w:val="26"/>
          <w:szCs w:val="26"/>
        </w:rPr>
        <w:t xml:space="preserve">Тюменским УФАС России </w:t>
      </w:r>
      <w:r w:rsidRPr="00A22D8E">
        <w:rPr>
          <w:sz w:val="26"/>
          <w:szCs w:val="26"/>
        </w:rPr>
        <w:t xml:space="preserve">в </w:t>
      </w:r>
      <w:r w:rsidRPr="00A22D8E">
        <w:rPr>
          <w:sz w:val="26"/>
          <w:szCs w:val="26"/>
        </w:rPr>
        <w:t>марте текущего года</w:t>
      </w:r>
      <w:r w:rsidRPr="00A22D8E">
        <w:rPr>
          <w:sz w:val="26"/>
          <w:szCs w:val="26"/>
        </w:rPr>
        <w:t>.</w:t>
      </w:r>
    </w:p>
    <w:p w:rsidR="00D864DB" w:rsidRPr="00D864DB" w:rsidRDefault="00D864DB" w:rsidP="00A22D8E">
      <w:pPr>
        <w:suppressAutoHyphens/>
        <w:spacing w:afterLines="60" w:after="144" w:line="276" w:lineRule="auto"/>
        <w:ind w:firstLine="709"/>
        <w:contextualSpacing/>
        <w:jc w:val="both"/>
        <w:rPr>
          <w:sz w:val="26"/>
          <w:szCs w:val="26"/>
        </w:rPr>
      </w:pPr>
      <w:r w:rsidRPr="00D864DB">
        <w:rPr>
          <w:sz w:val="26"/>
          <w:szCs w:val="26"/>
        </w:rPr>
        <w:t>Основанием для возбуждения дела № К17/11-11 послужило заявление ООО НПО «Полюс» на действия участников закупочных процедур, проводимых ПАО «</w:t>
      </w:r>
      <w:proofErr w:type="spellStart"/>
      <w:r w:rsidRPr="00D864DB">
        <w:rPr>
          <w:sz w:val="26"/>
          <w:szCs w:val="26"/>
        </w:rPr>
        <w:t>Транснефть</w:t>
      </w:r>
      <w:proofErr w:type="spellEnd"/>
      <w:r w:rsidRPr="00D864DB">
        <w:rPr>
          <w:sz w:val="26"/>
          <w:szCs w:val="26"/>
        </w:rPr>
        <w:t xml:space="preserve">» в  формате закрытого запроса предложений на поставку </w:t>
      </w:r>
      <w:proofErr w:type="spellStart"/>
      <w:r w:rsidRPr="00D864DB">
        <w:rPr>
          <w:sz w:val="26"/>
          <w:szCs w:val="26"/>
        </w:rPr>
        <w:t>термостабилизаторов</w:t>
      </w:r>
      <w:proofErr w:type="spellEnd"/>
      <w:r w:rsidRPr="00D864DB">
        <w:rPr>
          <w:sz w:val="26"/>
          <w:szCs w:val="26"/>
        </w:rPr>
        <w:t xml:space="preserve"> грунта, выразившиеся в возможном сговоре при участии в закупках. </w:t>
      </w:r>
    </w:p>
    <w:p w:rsidR="00D864DB" w:rsidRPr="00A22D8E" w:rsidRDefault="00D864DB" w:rsidP="00A22D8E">
      <w:pPr>
        <w:autoSpaceDE w:val="0"/>
        <w:autoSpaceDN w:val="0"/>
        <w:adjustRightInd w:val="0"/>
        <w:spacing w:line="276" w:lineRule="auto"/>
        <w:ind w:firstLine="567"/>
        <w:contextualSpacing/>
        <w:jc w:val="both"/>
        <w:rPr>
          <w:rFonts w:eastAsia="SimSun"/>
          <w:kern w:val="3"/>
          <w:sz w:val="26"/>
          <w:szCs w:val="26"/>
          <w:lang w:eastAsia="zh-CN" w:bidi="hi-IN"/>
        </w:rPr>
      </w:pPr>
      <w:r w:rsidRPr="00D864DB">
        <w:rPr>
          <w:rFonts w:eastAsia="SimSun"/>
          <w:kern w:val="3"/>
          <w:sz w:val="26"/>
          <w:szCs w:val="26"/>
          <w:lang w:eastAsia="zh-CN" w:bidi="hi-IN"/>
        </w:rPr>
        <w:t xml:space="preserve">В ходе рассмотрения дела было установлено, что действия </w:t>
      </w:r>
      <w:r w:rsidRPr="00D864DB">
        <w:rPr>
          <w:sz w:val="26"/>
          <w:szCs w:val="26"/>
        </w:rPr>
        <w:t>АО «</w:t>
      </w:r>
      <w:proofErr w:type="spellStart"/>
      <w:r w:rsidRPr="00D864DB">
        <w:rPr>
          <w:sz w:val="26"/>
          <w:szCs w:val="26"/>
        </w:rPr>
        <w:t>Конар</w:t>
      </w:r>
      <w:proofErr w:type="spellEnd"/>
      <w:r w:rsidRPr="00D864DB">
        <w:rPr>
          <w:sz w:val="26"/>
          <w:szCs w:val="26"/>
        </w:rPr>
        <w:t>» и ООО НПО «</w:t>
      </w:r>
      <w:proofErr w:type="spellStart"/>
      <w:r w:rsidRPr="00D864DB">
        <w:rPr>
          <w:sz w:val="26"/>
          <w:szCs w:val="26"/>
        </w:rPr>
        <w:t>Фундаментстройаркос</w:t>
      </w:r>
      <w:proofErr w:type="spellEnd"/>
      <w:r w:rsidRPr="00D864DB">
        <w:rPr>
          <w:sz w:val="26"/>
          <w:szCs w:val="26"/>
        </w:rPr>
        <w:t xml:space="preserve">» при участии в закупках </w:t>
      </w:r>
      <w:proofErr w:type="spellStart"/>
      <w:r w:rsidRPr="00D864DB">
        <w:rPr>
          <w:sz w:val="26"/>
          <w:szCs w:val="26"/>
        </w:rPr>
        <w:t>термостабилизаторов</w:t>
      </w:r>
      <w:proofErr w:type="spellEnd"/>
      <w:r w:rsidRPr="00D864DB">
        <w:rPr>
          <w:sz w:val="26"/>
          <w:szCs w:val="26"/>
        </w:rPr>
        <w:t xml:space="preserve"> грунтов, проводимых ПАО «</w:t>
      </w:r>
      <w:proofErr w:type="spellStart"/>
      <w:r w:rsidRPr="00D864DB">
        <w:rPr>
          <w:sz w:val="26"/>
          <w:szCs w:val="26"/>
        </w:rPr>
        <w:t>Транснефть</w:t>
      </w:r>
      <w:proofErr w:type="spellEnd"/>
      <w:r w:rsidRPr="00D864DB">
        <w:rPr>
          <w:sz w:val="26"/>
          <w:szCs w:val="26"/>
        </w:rPr>
        <w:t xml:space="preserve">» с 2012 года, содержат нарушение </w:t>
      </w:r>
      <w:r w:rsidRPr="00D864DB">
        <w:rPr>
          <w:rFonts w:eastAsia="SimSun"/>
          <w:kern w:val="3"/>
          <w:sz w:val="26"/>
          <w:szCs w:val="26"/>
          <w:lang w:eastAsia="zh-CN" w:bidi="hi-IN"/>
        </w:rPr>
        <w:t xml:space="preserve">пункта 2 части 1 статьи 11 </w:t>
      </w:r>
      <w:r w:rsidRPr="00A22D8E">
        <w:rPr>
          <w:rFonts w:eastAsia="SimSun"/>
          <w:kern w:val="3"/>
          <w:sz w:val="26"/>
          <w:szCs w:val="26"/>
          <w:lang w:eastAsia="zh-CN" w:bidi="hi-IN"/>
        </w:rPr>
        <w:t xml:space="preserve">Закона о </w:t>
      </w:r>
      <w:r w:rsidRPr="00D864DB">
        <w:rPr>
          <w:rFonts w:eastAsia="SimSun"/>
          <w:kern w:val="3"/>
          <w:sz w:val="26"/>
          <w:szCs w:val="26"/>
          <w:lang w:eastAsia="zh-CN" w:bidi="hi-IN"/>
        </w:rPr>
        <w:t xml:space="preserve"> защите конкуренции.</w:t>
      </w:r>
    </w:p>
    <w:p w:rsidR="00D864DB" w:rsidRPr="00D864DB" w:rsidRDefault="00D864DB" w:rsidP="00A22D8E">
      <w:pPr>
        <w:autoSpaceDE w:val="0"/>
        <w:autoSpaceDN w:val="0"/>
        <w:adjustRightInd w:val="0"/>
        <w:spacing w:line="276" w:lineRule="auto"/>
        <w:ind w:firstLine="567"/>
        <w:contextualSpacing/>
        <w:jc w:val="both"/>
        <w:rPr>
          <w:rFonts w:eastAsia="SimSun"/>
          <w:kern w:val="3"/>
          <w:sz w:val="26"/>
          <w:szCs w:val="26"/>
          <w:lang w:eastAsia="zh-CN" w:bidi="hi-IN"/>
        </w:rPr>
      </w:pPr>
      <w:r w:rsidRPr="00D864DB">
        <w:rPr>
          <w:rFonts w:eastAsia="SimSun"/>
          <w:kern w:val="3"/>
          <w:sz w:val="26"/>
          <w:szCs w:val="26"/>
          <w:lang w:eastAsia="zh-CN" w:bidi="hi-IN"/>
        </w:rPr>
        <w:t xml:space="preserve"> Нарушение выразилось в том, что АО «</w:t>
      </w:r>
      <w:proofErr w:type="spellStart"/>
      <w:r w:rsidRPr="00D864DB">
        <w:rPr>
          <w:rFonts w:eastAsia="SimSun"/>
          <w:kern w:val="3"/>
          <w:sz w:val="26"/>
          <w:szCs w:val="26"/>
          <w:lang w:eastAsia="zh-CN" w:bidi="hi-IN"/>
        </w:rPr>
        <w:t>Конар</w:t>
      </w:r>
      <w:proofErr w:type="spellEnd"/>
      <w:r w:rsidRPr="00D864DB">
        <w:rPr>
          <w:rFonts w:eastAsia="SimSun"/>
          <w:kern w:val="3"/>
          <w:sz w:val="26"/>
          <w:szCs w:val="26"/>
          <w:lang w:eastAsia="zh-CN" w:bidi="hi-IN"/>
        </w:rPr>
        <w:t>» и ООО НПО «</w:t>
      </w:r>
      <w:proofErr w:type="spellStart"/>
      <w:r w:rsidRPr="00D864DB">
        <w:rPr>
          <w:sz w:val="26"/>
          <w:szCs w:val="26"/>
        </w:rPr>
        <w:t>Фундаментстройаркос</w:t>
      </w:r>
      <w:proofErr w:type="spellEnd"/>
      <w:r w:rsidRPr="00D864DB">
        <w:rPr>
          <w:rFonts w:eastAsia="SimSun"/>
          <w:kern w:val="3"/>
          <w:sz w:val="26"/>
          <w:szCs w:val="26"/>
          <w:lang w:eastAsia="zh-CN" w:bidi="hi-IN"/>
        </w:rPr>
        <w:t>» заключили и участвовали в реализации соглашения, которое привело или могло привести к поддержанию цен на торгах при участии в закрытых запросах предложений.</w:t>
      </w:r>
    </w:p>
    <w:p w:rsidR="00D864DB" w:rsidRPr="00D864DB" w:rsidRDefault="00D864DB" w:rsidP="00A22D8E">
      <w:pPr>
        <w:autoSpaceDE w:val="0"/>
        <w:autoSpaceDN w:val="0"/>
        <w:adjustRightInd w:val="0"/>
        <w:spacing w:line="276" w:lineRule="auto"/>
        <w:ind w:firstLine="567"/>
        <w:contextualSpacing/>
        <w:jc w:val="both"/>
        <w:rPr>
          <w:sz w:val="26"/>
          <w:szCs w:val="26"/>
        </w:rPr>
      </w:pPr>
      <w:r w:rsidRPr="00D864DB">
        <w:rPr>
          <w:sz w:val="26"/>
          <w:szCs w:val="26"/>
        </w:rPr>
        <w:t xml:space="preserve">Комиссией установлено, что действия ответчиков при участии в обозначенных выше закрытых запросов предложений не соответствуют принципу добросовестности, являются проявлением монополистической деятельности, а также являются следствием </w:t>
      </w:r>
      <w:r w:rsidR="00A037FB" w:rsidRPr="00D864DB">
        <w:rPr>
          <w:sz w:val="26"/>
          <w:szCs w:val="26"/>
        </w:rPr>
        <w:t>заключённого</w:t>
      </w:r>
      <w:r w:rsidRPr="00D864DB">
        <w:rPr>
          <w:sz w:val="26"/>
          <w:szCs w:val="26"/>
        </w:rPr>
        <w:t xml:space="preserve"> между ними картельного соглашения, направленного на установление </w:t>
      </w:r>
      <w:proofErr w:type="gramStart"/>
      <w:r w:rsidRPr="00D864DB">
        <w:rPr>
          <w:sz w:val="26"/>
          <w:szCs w:val="26"/>
        </w:rPr>
        <w:t>и(</w:t>
      </w:r>
      <w:proofErr w:type="gramEnd"/>
      <w:r w:rsidRPr="00D864DB">
        <w:rPr>
          <w:sz w:val="26"/>
          <w:szCs w:val="26"/>
        </w:rPr>
        <w:t xml:space="preserve">или) поддержание цен на торгах. </w:t>
      </w:r>
    </w:p>
    <w:p w:rsidR="00D864DB" w:rsidRPr="00D864DB" w:rsidRDefault="00D864DB" w:rsidP="00A22D8E">
      <w:pPr>
        <w:autoSpaceDE w:val="0"/>
        <w:autoSpaceDN w:val="0"/>
        <w:adjustRightInd w:val="0"/>
        <w:spacing w:line="276" w:lineRule="auto"/>
        <w:ind w:firstLine="567"/>
        <w:contextualSpacing/>
        <w:jc w:val="both"/>
        <w:rPr>
          <w:sz w:val="26"/>
          <w:szCs w:val="26"/>
        </w:rPr>
      </w:pPr>
      <w:r w:rsidRPr="00D864DB">
        <w:rPr>
          <w:sz w:val="26"/>
          <w:szCs w:val="26"/>
        </w:rPr>
        <w:t xml:space="preserve">Комиссия в </w:t>
      </w:r>
      <w:r w:rsidR="00A037FB" w:rsidRPr="00D864DB">
        <w:rPr>
          <w:sz w:val="26"/>
          <w:szCs w:val="26"/>
        </w:rPr>
        <w:t>своём</w:t>
      </w:r>
      <w:r w:rsidRPr="00D864DB">
        <w:rPr>
          <w:sz w:val="26"/>
          <w:szCs w:val="26"/>
        </w:rPr>
        <w:t xml:space="preserve"> решении основывается на следующих обстоятельствах:</w:t>
      </w:r>
    </w:p>
    <w:p w:rsidR="00D864DB" w:rsidRPr="00D864DB" w:rsidRDefault="00D864DB" w:rsidP="00A22D8E">
      <w:pPr>
        <w:autoSpaceDE w:val="0"/>
        <w:autoSpaceDN w:val="0"/>
        <w:adjustRightInd w:val="0"/>
        <w:spacing w:line="276" w:lineRule="auto"/>
        <w:ind w:firstLine="567"/>
        <w:contextualSpacing/>
        <w:jc w:val="both"/>
        <w:rPr>
          <w:i/>
          <w:sz w:val="26"/>
          <w:szCs w:val="26"/>
        </w:rPr>
      </w:pPr>
      <w:r w:rsidRPr="00D864DB">
        <w:rPr>
          <w:i/>
          <w:sz w:val="26"/>
          <w:szCs w:val="26"/>
        </w:rPr>
        <w:t xml:space="preserve">1. </w:t>
      </w:r>
      <w:r w:rsidRPr="00D864DB">
        <w:rPr>
          <w:rFonts w:eastAsia="Calibri"/>
          <w:i/>
          <w:sz w:val="26"/>
          <w:szCs w:val="26"/>
          <w:lang w:eastAsia="en-US"/>
        </w:rPr>
        <w:t xml:space="preserve"> Единая стратегия поведения ответчиков</w:t>
      </w:r>
    </w:p>
    <w:p w:rsidR="00D864DB" w:rsidRPr="00D864DB" w:rsidRDefault="00D864DB" w:rsidP="00A22D8E">
      <w:pPr>
        <w:autoSpaceDE w:val="0"/>
        <w:autoSpaceDN w:val="0"/>
        <w:adjustRightInd w:val="0"/>
        <w:spacing w:line="276" w:lineRule="auto"/>
        <w:ind w:firstLine="567"/>
        <w:contextualSpacing/>
        <w:jc w:val="both"/>
        <w:rPr>
          <w:sz w:val="26"/>
          <w:szCs w:val="26"/>
          <w:u w:val="single"/>
        </w:rPr>
      </w:pPr>
      <w:r w:rsidRPr="00D864DB">
        <w:rPr>
          <w:sz w:val="26"/>
          <w:szCs w:val="26"/>
        </w:rPr>
        <w:t xml:space="preserve">В каждой из </w:t>
      </w:r>
      <w:proofErr w:type="spellStart"/>
      <w:r w:rsidRPr="00D864DB">
        <w:rPr>
          <w:sz w:val="26"/>
          <w:szCs w:val="26"/>
        </w:rPr>
        <w:t>проведенных</w:t>
      </w:r>
      <w:proofErr w:type="spellEnd"/>
      <w:r w:rsidRPr="00D864DB">
        <w:rPr>
          <w:sz w:val="26"/>
          <w:szCs w:val="26"/>
        </w:rPr>
        <w:t xml:space="preserve"> закупок с участием ООО НПО «</w:t>
      </w:r>
      <w:proofErr w:type="spellStart"/>
      <w:r w:rsidRPr="00D864DB">
        <w:rPr>
          <w:sz w:val="26"/>
          <w:szCs w:val="26"/>
        </w:rPr>
        <w:t>Фундаментстройаркос</w:t>
      </w:r>
      <w:proofErr w:type="spellEnd"/>
      <w:r w:rsidRPr="00D864DB">
        <w:rPr>
          <w:sz w:val="26"/>
          <w:szCs w:val="26"/>
        </w:rPr>
        <w:t>» и АО «</w:t>
      </w:r>
      <w:proofErr w:type="spellStart"/>
      <w:r w:rsidRPr="00D864DB">
        <w:rPr>
          <w:sz w:val="26"/>
          <w:szCs w:val="26"/>
        </w:rPr>
        <w:t>Конар</w:t>
      </w:r>
      <w:proofErr w:type="spellEnd"/>
      <w:r w:rsidRPr="00D864DB">
        <w:rPr>
          <w:sz w:val="26"/>
          <w:szCs w:val="26"/>
        </w:rPr>
        <w:t>» хозяйствующие субъекты придерживались единой стратегии: первоначальное предложение ООО НПО «</w:t>
      </w:r>
      <w:proofErr w:type="spellStart"/>
      <w:r w:rsidRPr="00D864DB">
        <w:rPr>
          <w:sz w:val="26"/>
          <w:szCs w:val="26"/>
        </w:rPr>
        <w:t>Фундаментстройаркос</w:t>
      </w:r>
      <w:proofErr w:type="spellEnd"/>
      <w:r w:rsidRPr="00D864DB">
        <w:rPr>
          <w:sz w:val="26"/>
          <w:szCs w:val="26"/>
        </w:rPr>
        <w:t>» всегда превышало первоначальное предложение АО «</w:t>
      </w:r>
      <w:proofErr w:type="spellStart"/>
      <w:r w:rsidRPr="00D864DB">
        <w:rPr>
          <w:sz w:val="26"/>
          <w:szCs w:val="26"/>
        </w:rPr>
        <w:t>Конар</w:t>
      </w:r>
      <w:proofErr w:type="spellEnd"/>
      <w:r w:rsidRPr="00D864DB">
        <w:rPr>
          <w:sz w:val="26"/>
          <w:szCs w:val="26"/>
        </w:rPr>
        <w:t>». Кроме того, ООО НПО «</w:t>
      </w:r>
      <w:proofErr w:type="spellStart"/>
      <w:r w:rsidRPr="00D864DB">
        <w:rPr>
          <w:sz w:val="26"/>
          <w:szCs w:val="26"/>
        </w:rPr>
        <w:t>Фундаментстройаркос</w:t>
      </w:r>
      <w:proofErr w:type="spellEnd"/>
      <w:r w:rsidRPr="00D864DB">
        <w:rPr>
          <w:sz w:val="26"/>
          <w:szCs w:val="26"/>
        </w:rPr>
        <w:t xml:space="preserve">» всегда подавало предложение не ниже начальной максимальной цены контракта (НМЦК), что свидетельствует о том, что хозяйствующий субъект изначально предпринимал все действия для исключения себя из конкурентной борьбы и не был заинтересован в победе. Таким образом, в каждой </w:t>
      </w:r>
      <w:proofErr w:type="spellStart"/>
      <w:r w:rsidRPr="00D864DB">
        <w:rPr>
          <w:sz w:val="26"/>
          <w:szCs w:val="26"/>
        </w:rPr>
        <w:t>проведенной</w:t>
      </w:r>
      <w:proofErr w:type="spellEnd"/>
      <w:r w:rsidRPr="00D864DB">
        <w:rPr>
          <w:sz w:val="26"/>
          <w:szCs w:val="26"/>
        </w:rPr>
        <w:t xml:space="preserve"> закупке </w:t>
      </w:r>
      <w:proofErr w:type="spellStart"/>
      <w:r w:rsidRPr="00D864DB">
        <w:rPr>
          <w:sz w:val="26"/>
          <w:szCs w:val="26"/>
        </w:rPr>
        <w:t>термостабилизаторов</w:t>
      </w:r>
      <w:proofErr w:type="spellEnd"/>
      <w:r w:rsidRPr="00D864DB">
        <w:rPr>
          <w:sz w:val="26"/>
          <w:szCs w:val="26"/>
        </w:rPr>
        <w:t xml:space="preserve"> грунта, в которых участвовали только Ответчики, участники закупки отказывались от конкурентной борьбы и с победителем – АО «</w:t>
      </w:r>
      <w:proofErr w:type="spellStart"/>
      <w:r w:rsidRPr="00D864DB">
        <w:rPr>
          <w:sz w:val="26"/>
          <w:szCs w:val="26"/>
        </w:rPr>
        <w:t>Конар</w:t>
      </w:r>
      <w:proofErr w:type="spellEnd"/>
      <w:r w:rsidRPr="00D864DB">
        <w:rPr>
          <w:sz w:val="26"/>
          <w:szCs w:val="26"/>
        </w:rPr>
        <w:t>», предлагавшим цену, изначально не превышающую НМЦК и всегда более низкую по сравнению с ООО НПО «</w:t>
      </w:r>
      <w:proofErr w:type="spellStart"/>
      <w:r w:rsidRPr="00D864DB">
        <w:rPr>
          <w:sz w:val="26"/>
          <w:szCs w:val="26"/>
        </w:rPr>
        <w:t>Фундаментстройаркос</w:t>
      </w:r>
      <w:proofErr w:type="spellEnd"/>
      <w:r w:rsidRPr="00D864DB">
        <w:rPr>
          <w:sz w:val="26"/>
          <w:szCs w:val="26"/>
        </w:rPr>
        <w:t>» - заключался контракт. После включения в состав участников закрытого запроса предложений ООО НПО «Полюс» ООО НПО «</w:t>
      </w:r>
      <w:proofErr w:type="spellStart"/>
      <w:r w:rsidRPr="00D864DB">
        <w:rPr>
          <w:sz w:val="26"/>
          <w:szCs w:val="26"/>
        </w:rPr>
        <w:t>Фундаментстройаркос</w:t>
      </w:r>
      <w:proofErr w:type="spellEnd"/>
      <w:r w:rsidRPr="00D864DB">
        <w:rPr>
          <w:sz w:val="26"/>
          <w:szCs w:val="26"/>
        </w:rPr>
        <w:t xml:space="preserve">» сразу подавало предложение, существенно превышавшее НМЦК, </w:t>
      </w:r>
      <w:proofErr w:type="gramStart"/>
      <w:r w:rsidRPr="00D864DB">
        <w:rPr>
          <w:sz w:val="26"/>
          <w:szCs w:val="26"/>
        </w:rPr>
        <w:t>выходя</w:t>
      </w:r>
      <w:proofErr w:type="gramEnd"/>
      <w:r w:rsidRPr="00D864DB">
        <w:rPr>
          <w:sz w:val="26"/>
          <w:szCs w:val="26"/>
        </w:rPr>
        <w:t xml:space="preserve"> таким образом из конкурентной борьбы, повышая шансы АО «</w:t>
      </w:r>
      <w:proofErr w:type="spellStart"/>
      <w:r w:rsidRPr="00D864DB">
        <w:rPr>
          <w:sz w:val="26"/>
          <w:szCs w:val="26"/>
        </w:rPr>
        <w:t>Конар</w:t>
      </w:r>
      <w:proofErr w:type="spellEnd"/>
      <w:r w:rsidRPr="00D864DB">
        <w:rPr>
          <w:sz w:val="26"/>
          <w:szCs w:val="26"/>
        </w:rPr>
        <w:t>» на победу.</w:t>
      </w:r>
    </w:p>
    <w:p w:rsidR="00D864DB" w:rsidRPr="00D864DB" w:rsidRDefault="00D864DB" w:rsidP="00A22D8E">
      <w:pPr>
        <w:autoSpaceDE w:val="0"/>
        <w:autoSpaceDN w:val="0"/>
        <w:adjustRightInd w:val="0"/>
        <w:spacing w:line="276" w:lineRule="auto"/>
        <w:ind w:firstLine="567"/>
        <w:contextualSpacing/>
        <w:jc w:val="both"/>
        <w:rPr>
          <w:sz w:val="26"/>
          <w:szCs w:val="26"/>
          <w:u w:val="single"/>
        </w:rPr>
      </w:pPr>
      <w:r w:rsidRPr="00D864DB">
        <w:rPr>
          <w:rFonts w:eastAsia="Calibri"/>
          <w:sz w:val="26"/>
          <w:szCs w:val="26"/>
          <w:lang w:eastAsia="en-US"/>
        </w:rPr>
        <w:t xml:space="preserve">Нежелание победить в закупке для добросовестных участников закупок </w:t>
      </w:r>
      <w:proofErr w:type="spellStart"/>
      <w:r w:rsidRPr="00D864DB">
        <w:rPr>
          <w:rFonts w:eastAsia="Calibri"/>
          <w:sz w:val="26"/>
          <w:szCs w:val="26"/>
          <w:lang w:eastAsia="en-US"/>
        </w:rPr>
        <w:t>влечет</w:t>
      </w:r>
      <w:proofErr w:type="spellEnd"/>
      <w:r w:rsidRPr="00D864DB">
        <w:rPr>
          <w:rFonts w:eastAsia="Calibri"/>
          <w:sz w:val="26"/>
          <w:szCs w:val="26"/>
          <w:lang w:eastAsia="en-US"/>
        </w:rPr>
        <w:t xml:space="preserve"> исключение из оборота значительных средств, используемых в качестве обеспечения заявки для участия, а также не преследует основную цель коммерческой организации - извлечение прибыли. Такое поведение хозяйствующего субъекта является нетипичным в нормальных (обычных) условиях осуществления хозяйственной деятельности, но является следствием достигнутого между ООО НПО «</w:t>
      </w:r>
      <w:proofErr w:type="spellStart"/>
      <w:r w:rsidRPr="00D864DB">
        <w:rPr>
          <w:sz w:val="26"/>
          <w:szCs w:val="26"/>
        </w:rPr>
        <w:t>Фундаментстройаркос</w:t>
      </w:r>
      <w:proofErr w:type="spellEnd"/>
      <w:r w:rsidRPr="00D864DB">
        <w:rPr>
          <w:rFonts w:eastAsia="Calibri"/>
          <w:sz w:val="26"/>
          <w:szCs w:val="26"/>
          <w:lang w:eastAsia="en-US"/>
        </w:rPr>
        <w:t>» и АО «</w:t>
      </w:r>
      <w:proofErr w:type="spellStart"/>
      <w:r w:rsidRPr="00D864DB">
        <w:rPr>
          <w:rFonts w:eastAsia="Calibri"/>
          <w:sz w:val="26"/>
          <w:szCs w:val="26"/>
          <w:lang w:eastAsia="en-US"/>
        </w:rPr>
        <w:t>Конар</w:t>
      </w:r>
      <w:proofErr w:type="spellEnd"/>
      <w:r w:rsidRPr="00D864DB">
        <w:rPr>
          <w:rFonts w:eastAsia="Calibri"/>
          <w:sz w:val="26"/>
          <w:szCs w:val="26"/>
          <w:lang w:eastAsia="en-US"/>
        </w:rPr>
        <w:t>» картельного соглашения.</w:t>
      </w:r>
    </w:p>
    <w:p w:rsidR="00D864DB" w:rsidRPr="00D864DB" w:rsidRDefault="00D864DB" w:rsidP="00A22D8E">
      <w:pPr>
        <w:autoSpaceDE w:val="0"/>
        <w:autoSpaceDN w:val="0"/>
        <w:adjustRightInd w:val="0"/>
        <w:spacing w:line="276" w:lineRule="auto"/>
        <w:ind w:firstLine="567"/>
        <w:contextualSpacing/>
        <w:jc w:val="both"/>
        <w:rPr>
          <w:i/>
          <w:sz w:val="26"/>
          <w:szCs w:val="26"/>
          <w:u w:val="single"/>
        </w:rPr>
      </w:pPr>
      <w:r w:rsidRPr="00D864DB">
        <w:rPr>
          <w:rFonts w:eastAsia="Calibri"/>
          <w:i/>
          <w:sz w:val="26"/>
          <w:szCs w:val="26"/>
          <w:lang w:eastAsia="en-US"/>
        </w:rPr>
        <w:t xml:space="preserve">2. Отсутствие собственного производства </w:t>
      </w:r>
      <w:proofErr w:type="spellStart"/>
      <w:r w:rsidRPr="00D864DB">
        <w:rPr>
          <w:i/>
          <w:sz w:val="26"/>
          <w:szCs w:val="26"/>
        </w:rPr>
        <w:t>термостабилизаторов</w:t>
      </w:r>
      <w:proofErr w:type="spellEnd"/>
      <w:r w:rsidRPr="00D864DB">
        <w:rPr>
          <w:i/>
          <w:sz w:val="26"/>
          <w:szCs w:val="26"/>
        </w:rPr>
        <w:t xml:space="preserve"> грунт</w:t>
      </w:r>
      <w:proofErr w:type="gramStart"/>
      <w:r w:rsidRPr="00D864DB">
        <w:rPr>
          <w:i/>
          <w:sz w:val="26"/>
          <w:szCs w:val="26"/>
        </w:rPr>
        <w:t>а</w:t>
      </w:r>
      <w:r w:rsidRPr="00D864DB">
        <w:rPr>
          <w:rFonts w:eastAsia="Calibri"/>
          <w:i/>
          <w:sz w:val="26"/>
          <w:szCs w:val="26"/>
          <w:lang w:eastAsia="en-US"/>
        </w:rPr>
        <w:t xml:space="preserve"> у АО</w:t>
      </w:r>
      <w:proofErr w:type="gramEnd"/>
      <w:r w:rsidRPr="00D864DB">
        <w:rPr>
          <w:rFonts w:eastAsia="Calibri"/>
          <w:i/>
          <w:sz w:val="26"/>
          <w:szCs w:val="26"/>
          <w:lang w:eastAsia="en-US"/>
        </w:rPr>
        <w:t xml:space="preserve"> «</w:t>
      </w:r>
      <w:proofErr w:type="spellStart"/>
      <w:r w:rsidRPr="00D864DB">
        <w:rPr>
          <w:rFonts w:eastAsia="Calibri"/>
          <w:i/>
          <w:sz w:val="26"/>
          <w:szCs w:val="26"/>
          <w:lang w:eastAsia="en-US"/>
        </w:rPr>
        <w:t>Конар</w:t>
      </w:r>
      <w:proofErr w:type="spellEnd"/>
      <w:r w:rsidRPr="00D864DB">
        <w:rPr>
          <w:rFonts w:eastAsia="Calibri"/>
          <w:i/>
          <w:sz w:val="26"/>
          <w:szCs w:val="26"/>
          <w:lang w:eastAsia="en-US"/>
        </w:rPr>
        <w:t>»</w:t>
      </w:r>
    </w:p>
    <w:p w:rsidR="00D864DB" w:rsidRPr="00D864DB" w:rsidRDefault="00D864DB" w:rsidP="00A22D8E">
      <w:pPr>
        <w:autoSpaceDE w:val="0"/>
        <w:autoSpaceDN w:val="0"/>
        <w:adjustRightInd w:val="0"/>
        <w:spacing w:line="276" w:lineRule="auto"/>
        <w:ind w:firstLine="567"/>
        <w:contextualSpacing/>
        <w:jc w:val="both"/>
        <w:rPr>
          <w:sz w:val="26"/>
          <w:szCs w:val="26"/>
          <w:u w:val="single"/>
        </w:rPr>
      </w:pPr>
      <w:r w:rsidRPr="00D864DB">
        <w:rPr>
          <w:rFonts w:eastAsia="Calibri"/>
          <w:sz w:val="26"/>
          <w:szCs w:val="26"/>
          <w:lang w:eastAsia="en-US"/>
        </w:rPr>
        <w:t xml:space="preserve">Комиссией установлено, что </w:t>
      </w:r>
      <w:r w:rsidRPr="00D864DB">
        <w:rPr>
          <w:sz w:val="26"/>
          <w:szCs w:val="26"/>
        </w:rPr>
        <w:t>АО «</w:t>
      </w:r>
      <w:proofErr w:type="spellStart"/>
      <w:r w:rsidRPr="00D864DB">
        <w:rPr>
          <w:sz w:val="26"/>
          <w:szCs w:val="26"/>
        </w:rPr>
        <w:t>Конар</w:t>
      </w:r>
      <w:proofErr w:type="spellEnd"/>
      <w:r w:rsidRPr="00D864DB">
        <w:rPr>
          <w:sz w:val="26"/>
          <w:szCs w:val="26"/>
        </w:rPr>
        <w:t xml:space="preserve">» не производило на собственной производственной базе </w:t>
      </w:r>
      <w:proofErr w:type="spellStart"/>
      <w:r w:rsidRPr="00D864DB">
        <w:rPr>
          <w:sz w:val="26"/>
          <w:szCs w:val="26"/>
        </w:rPr>
        <w:t>термостабилизаторы</w:t>
      </w:r>
      <w:proofErr w:type="spellEnd"/>
      <w:r w:rsidRPr="00D864DB">
        <w:rPr>
          <w:sz w:val="26"/>
          <w:szCs w:val="26"/>
        </w:rPr>
        <w:t>, а закупало у ООО НПО «</w:t>
      </w:r>
      <w:proofErr w:type="spellStart"/>
      <w:r w:rsidRPr="00D864DB">
        <w:rPr>
          <w:sz w:val="26"/>
          <w:szCs w:val="26"/>
        </w:rPr>
        <w:t>Фундаментстройаркос</w:t>
      </w:r>
      <w:proofErr w:type="spellEnd"/>
      <w:r w:rsidRPr="00D864DB">
        <w:rPr>
          <w:sz w:val="26"/>
          <w:szCs w:val="26"/>
        </w:rPr>
        <w:t xml:space="preserve">» готовый продукт – </w:t>
      </w:r>
      <w:proofErr w:type="spellStart"/>
      <w:r w:rsidRPr="00D864DB">
        <w:rPr>
          <w:sz w:val="26"/>
          <w:szCs w:val="26"/>
        </w:rPr>
        <w:t>термостабилизаторы</w:t>
      </w:r>
      <w:proofErr w:type="spellEnd"/>
      <w:r w:rsidRPr="00D864DB">
        <w:rPr>
          <w:sz w:val="26"/>
          <w:szCs w:val="26"/>
        </w:rPr>
        <w:t xml:space="preserve"> тех наименований и артикулов, которые предусмотрены соответствующими договорами поставки, </w:t>
      </w:r>
      <w:proofErr w:type="spellStart"/>
      <w:r w:rsidRPr="00D864DB">
        <w:rPr>
          <w:sz w:val="26"/>
          <w:szCs w:val="26"/>
        </w:rPr>
        <w:t>заключенными</w:t>
      </w:r>
      <w:proofErr w:type="spellEnd"/>
      <w:r w:rsidRPr="00D864DB">
        <w:rPr>
          <w:sz w:val="26"/>
          <w:szCs w:val="26"/>
        </w:rPr>
        <w:t xml:space="preserve"> АО «</w:t>
      </w:r>
      <w:proofErr w:type="spellStart"/>
      <w:r w:rsidRPr="00D864DB">
        <w:rPr>
          <w:sz w:val="26"/>
          <w:szCs w:val="26"/>
        </w:rPr>
        <w:t>Конар</w:t>
      </w:r>
      <w:proofErr w:type="spellEnd"/>
      <w:r w:rsidRPr="00D864DB">
        <w:rPr>
          <w:sz w:val="26"/>
          <w:szCs w:val="26"/>
        </w:rPr>
        <w:t>» с предприятиями «</w:t>
      </w:r>
      <w:proofErr w:type="spellStart"/>
      <w:r w:rsidRPr="00D864DB">
        <w:rPr>
          <w:sz w:val="26"/>
          <w:szCs w:val="26"/>
        </w:rPr>
        <w:t>Транснефть</w:t>
      </w:r>
      <w:proofErr w:type="spellEnd"/>
      <w:r w:rsidRPr="00D864DB">
        <w:rPr>
          <w:sz w:val="26"/>
          <w:szCs w:val="26"/>
        </w:rPr>
        <w:t>».</w:t>
      </w:r>
    </w:p>
    <w:p w:rsidR="00D864DB" w:rsidRPr="00D864DB" w:rsidRDefault="00D864DB" w:rsidP="00A22D8E">
      <w:pPr>
        <w:autoSpaceDE w:val="0"/>
        <w:autoSpaceDN w:val="0"/>
        <w:adjustRightInd w:val="0"/>
        <w:spacing w:line="276" w:lineRule="auto"/>
        <w:ind w:firstLine="567"/>
        <w:contextualSpacing/>
        <w:jc w:val="both"/>
        <w:rPr>
          <w:sz w:val="26"/>
          <w:szCs w:val="26"/>
          <w:u w:val="single"/>
        </w:rPr>
      </w:pPr>
      <w:r w:rsidRPr="00D864DB">
        <w:rPr>
          <w:sz w:val="26"/>
          <w:szCs w:val="26"/>
        </w:rPr>
        <w:t xml:space="preserve">Указанное обстоятельство подтверждается спецификациями к договору поставки № № ФСА-КНР-1 от 13.08.2012, </w:t>
      </w:r>
      <w:proofErr w:type="spellStart"/>
      <w:r w:rsidRPr="00D864DB">
        <w:rPr>
          <w:sz w:val="26"/>
          <w:szCs w:val="26"/>
        </w:rPr>
        <w:t>заключенному</w:t>
      </w:r>
      <w:proofErr w:type="spellEnd"/>
      <w:r w:rsidRPr="00D864DB">
        <w:rPr>
          <w:sz w:val="26"/>
          <w:szCs w:val="26"/>
        </w:rPr>
        <w:t xml:space="preserve"> между АО «</w:t>
      </w:r>
      <w:proofErr w:type="spellStart"/>
      <w:r w:rsidRPr="00D864DB">
        <w:rPr>
          <w:sz w:val="26"/>
          <w:szCs w:val="26"/>
        </w:rPr>
        <w:t>Конар</w:t>
      </w:r>
      <w:proofErr w:type="spellEnd"/>
      <w:r w:rsidRPr="00D864DB">
        <w:rPr>
          <w:sz w:val="26"/>
          <w:szCs w:val="26"/>
        </w:rPr>
        <w:t>» и ООО НПО «</w:t>
      </w:r>
      <w:proofErr w:type="spellStart"/>
      <w:r w:rsidRPr="00D864DB">
        <w:rPr>
          <w:sz w:val="26"/>
          <w:szCs w:val="26"/>
        </w:rPr>
        <w:t>Фундаментстройаркос</w:t>
      </w:r>
      <w:proofErr w:type="spellEnd"/>
      <w:r w:rsidRPr="00D864DB">
        <w:rPr>
          <w:sz w:val="26"/>
          <w:szCs w:val="26"/>
        </w:rPr>
        <w:t xml:space="preserve">». Производство </w:t>
      </w:r>
      <w:proofErr w:type="spellStart"/>
      <w:r w:rsidRPr="00D864DB">
        <w:rPr>
          <w:sz w:val="26"/>
          <w:szCs w:val="26"/>
        </w:rPr>
        <w:t>термостабилизаторов</w:t>
      </w:r>
      <w:proofErr w:type="spellEnd"/>
      <w:r w:rsidRPr="00D864DB">
        <w:rPr>
          <w:sz w:val="26"/>
          <w:szCs w:val="26"/>
        </w:rPr>
        <w:t xml:space="preserve"> грунта на базе ООО НПО «</w:t>
      </w:r>
      <w:proofErr w:type="spellStart"/>
      <w:r w:rsidRPr="00D864DB">
        <w:rPr>
          <w:sz w:val="26"/>
          <w:szCs w:val="26"/>
        </w:rPr>
        <w:t>Фундаментстройаркос</w:t>
      </w:r>
      <w:proofErr w:type="spellEnd"/>
      <w:r w:rsidRPr="00D864DB">
        <w:rPr>
          <w:sz w:val="26"/>
          <w:szCs w:val="26"/>
        </w:rPr>
        <w:t>» - предприятия, которое при нормальных экономических условиях должно было являться конкурентом АО «</w:t>
      </w:r>
      <w:proofErr w:type="spellStart"/>
      <w:r w:rsidRPr="00D864DB">
        <w:rPr>
          <w:sz w:val="26"/>
          <w:szCs w:val="26"/>
        </w:rPr>
        <w:t>Конар</w:t>
      </w:r>
      <w:proofErr w:type="spellEnd"/>
      <w:r w:rsidRPr="00D864DB">
        <w:rPr>
          <w:sz w:val="26"/>
          <w:szCs w:val="26"/>
        </w:rPr>
        <w:t xml:space="preserve">», при отсутствии выпуска собственной продукции, стало возможным в результате </w:t>
      </w:r>
      <w:proofErr w:type="spellStart"/>
      <w:r w:rsidRPr="00D864DB">
        <w:rPr>
          <w:sz w:val="26"/>
          <w:szCs w:val="26"/>
        </w:rPr>
        <w:t>заключенного</w:t>
      </w:r>
      <w:proofErr w:type="spellEnd"/>
      <w:r w:rsidRPr="00D864DB">
        <w:rPr>
          <w:sz w:val="26"/>
          <w:szCs w:val="26"/>
        </w:rPr>
        <w:t xml:space="preserve"> картельного соглашения.</w:t>
      </w:r>
    </w:p>
    <w:p w:rsidR="00D864DB" w:rsidRPr="00D864DB" w:rsidRDefault="00D864DB" w:rsidP="00A22D8E">
      <w:pPr>
        <w:autoSpaceDE w:val="0"/>
        <w:autoSpaceDN w:val="0"/>
        <w:adjustRightInd w:val="0"/>
        <w:spacing w:line="276" w:lineRule="auto"/>
        <w:ind w:firstLine="567"/>
        <w:contextualSpacing/>
        <w:jc w:val="both"/>
        <w:rPr>
          <w:i/>
          <w:sz w:val="26"/>
          <w:szCs w:val="26"/>
          <w:u w:val="single"/>
        </w:rPr>
      </w:pPr>
      <w:r w:rsidRPr="00D864DB">
        <w:rPr>
          <w:rFonts w:eastAsia="Calibri"/>
          <w:i/>
          <w:sz w:val="26"/>
          <w:szCs w:val="26"/>
          <w:lang w:eastAsia="en-US"/>
        </w:rPr>
        <w:t>3. Синхронное формирование первоначальных ценовых предложений, использовавшихся ПАО «</w:t>
      </w:r>
      <w:proofErr w:type="spellStart"/>
      <w:r w:rsidRPr="00D864DB">
        <w:rPr>
          <w:rFonts w:eastAsia="Calibri"/>
          <w:i/>
          <w:sz w:val="26"/>
          <w:szCs w:val="26"/>
          <w:lang w:eastAsia="en-US"/>
        </w:rPr>
        <w:t>Транснефть</w:t>
      </w:r>
      <w:proofErr w:type="spellEnd"/>
      <w:r w:rsidRPr="00D864DB">
        <w:rPr>
          <w:rFonts w:eastAsia="Calibri"/>
          <w:i/>
          <w:sz w:val="26"/>
          <w:szCs w:val="26"/>
          <w:lang w:eastAsia="en-US"/>
        </w:rPr>
        <w:t>» для определения НМЦК</w:t>
      </w:r>
    </w:p>
    <w:p w:rsidR="00D864DB" w:rsidRPr="00D864DB" w:rsidRDefault="00D864DB" w:rsidP="00A22D8E">
      <w:pPr>
        <w:autoSpaceDE w:val="0"/>
        <w:autoSpaceDN w:val="0"/>
        <w:adjustRightInd w:val="0"/>
        <w:spacing w:line="276" w:lineRule="auto"/>
        <w:ind w:firstLine="567"/>
        <w:contextualSpacing/>
        <w:jc w:val="both"/>
        <w:rPr>
          <w:b/>
          <w:sz w:val="26"/>
          <w:szCs w:val="26"/>
          <w:u w:val="single"/>
        </w:rPr>
      </w:pPr>
      <w:proofErr w:type="gramStart"/>
      <w:r w:rsidRPr="00D864DB">
        <w:rPr>
          <w:sz w:val="26"/>
          <w:szCs w:val="26"/>
        </w:rPr>
        <w:t xml:space="preserve">Анализ производственной себестоимости </w:t>
      </w:r>
      <w:proofErr w:type="spellStart"/>
      <w:r w:rsidRPr="00D864DB">
        <w:rPr>
          <w:sz w:val="26"/>
          <w:szCs w:val="26"/>
        </w:rPr>
        <w:t>термостабилизаторов</w:t>
      </w:r>
      <w:proofErr w:type="spellEnd"/>
      <w:r w:rsidRPr="00D864DB">
        <w:rPr>
          <w:sz w:val="26"/>
          <w:szCs w:val="26"/>
        </w:rPr>
        <w:t xml:space="preserve"> грунта (</w:t>
      </w:r>
      <w:proofErr w:type="spellStart"/>
      <w:r w:rsidRPr="00D864DB">
        <w:rPr>
          <w:sz w:val="26"/>
          <w:szCs w:val="26"/>
        </w:rPr>
        <w:t>проведен</w:t>
      </w:r>
      <w:proofErr w:type="spellEnd"/>
      <w:r w:rsidRPr="00D864DB">
        <w:rPr>
          <w:sz w:val="26"/>
          <w:szCs w:val="26"/>
        </w:rPr>
        <w:t xml:space="preserve"> на основании документов «Акты сдачи готовой продукции» и «Справка-</w:t>
      </w:r>
      <w:proofErr w:type="spellStart"/>
      <w:r w:rsidRPr="00D864DB">
        <w:rPr>
          <w:sz w:val="26"/>
          <w:szCs w:val="26"/>
        </w:rPr>
        <w:t>расчет</w:t>
      </w:r>
      <w:proofErr w:type="spellEnd"/>
      <w:r w:rsidRPr="00D864DB">
        <w:rPr>
          <w:sz w:val="26"/>
          <w:szCs w:val="26"/>
        </w:rPr>
        <w:t xml:space="preserve"> себестоимости выпущенной продукции» за 2013-2016 годы, документы</w:t>
      </w:r>
      <w:proofErr w:type="gramEnd"/>
      <w:r w:rsidRPr="00D864DB">
        <w:rPr>
          <w:sz w:val="26"/>
          <w:szCs w:val="26"/>
        </w:rPr>
        <w:t xml:space="preserve"> представлены ООО НПО «</w:t>
      </w:r>
      <w:proofErr w:type="spellStart"/>
      <w:r w:rsidRPr="00D864DB">
        <w:rPr>
          <w:sz w:val="26"/>
          <w:szCs w:val="26"/>
        </w:rPr>
        <w:t>Фундаментстройаркос</w:t>
      </w:r>
      <w:proofErr w:type="spellEnd"/>
      <w:r w:rsidRPr="00D864DB">
        <w:rPr>
          <w:sz w:val="26"/>
          <w:szCs w:val="26"/>
        </w:rPr>
        <w:t>» в рамках внеплановой проверки Тюменского УФАС России) показал, что ООО НПО «</w:t>
      </w:r>
      <w:proofErr w:type="spellStart"/>
      <w:r w:rsidRPr="00D864DB">
        <w:rPr>
          <w:sz w:val="26"/>
          <w:szCs w:val="26"/>
        </w:rPr>
        <w:t>Фундаментстройаркос</w:t>
      </w:r>
      <w:proofErr w:type="spellEnd"/>
      <w:r w:rsidRPr="00D864DB">
        <w:rPr>
          <w:sz w:val="26"/>
          <w:szCs w:val="26"/>
        </w:rPr>
        <w:t xml:space="preserve">» имело возможность подачи более низких ценовых предложений, но, в связи с наличием </w:t>
      </w:r>
      <w:proofErr w:type="spellStart"/>
      <w:r w:rsidRPr="00D864DB">
        <w:rPr>
          <w:sz w:val="26"/>
          <w:szCs w:val="26"/>
        </w:rPr>
        <w:t>договоренности</w:t>
      </w:r>
      <w:proofErr w:type="spellEnd"/>
      <w:r w:rsidRPr="00D864DB">
        <w:rPr>
          <w:sz w:val="26"/>
          <w:szCs w:val="26"/>
        </w:rPr>
        <w:t xml:space="preserve"> с АО «</w:t>
      </w:r>
      <w:proofErr w:type="spellStart"/>
      <w:r w:rsidRPr="00D864DB">
        <w:rPr>
          <w:sz w:val="26"/>
          <w:szCs w:val="26"/>
        </w:rPr>
        <w:t>Конар</w:t>
      </w:r>
      <w:proofErr w:type="spellEnd"/>
      <w:r w:rsidRPr="00D864DB">
        <w:rPr>
          <w:sz w:val="26"/>
          <w:szCs w:val="26"/>
        </w:rPr>
        <w:t>», ООО НПО «</w:t>
      </w:r>
      <w:proofErr w:type="spellStart"/>
      <w:r w:rsidRPr="00D864DB">
        <w:rPr>
          <w:sz w:val="26"/>
          <w:szCs w:val="26"/>
        </w:rPr>
        <w:t>Фундаментстройаркос</w:t>
      </w:r>
      <w:proofErr w:type="spellEnd"/>
      <w:r w:rsidRPr="00D864DB">
        <w:rPr>
          <w:sz w:val="26"/>
          <w:szCs w:val="26"/>
        </w:rPr>
        <w:t xml:space="preserve">» таких действий не предпринимало. </w:t>
      </w:r>
    </w:p>
    <w:p w:rsidR="00D864DB" w:rsidRPr="00D864DB" w:rsidRDefault="00D864DB" w:rsidP="00A22D8E">
      <w:pPr>
        <w:autoSpaceDE w:val="0"/>
        <w:autoSpaceDN w:val="0"/>
        <w:adjustRightInd w:val="0"/>
        <w:spacing w:line="276" w:lineRule="auto"/>
        <w:ind w:firstLine="567"/>
        <w:contextualSpacing/>
        <w:jc w:val="both"/>
        <w:rPr>
          <w:b/>
          <w:sz w:val="26"/>
          <w:szCs w:val="26"/>
          <w:u w:val="single"/>
        </w:rPr>
      </w:pPr>
      <w:r w:rsidRPr="00D864DB">
        <w:rPr>
          <w:sz w:val="26"/>
          <w:szCs w:val="26"/>
        </w:rPr>
        <w:t>Ценовые предложения, направляемые ПАО «</w:t>
      </w:r>
      <w:proofErr w:type="spellStart"/>
      <w:r w:rsidRPr="00D864DB">
        <w:rPr>
          <w:sz w:val="26"/>
          <w:szCs w:val="26"/>
        </w:rPr>
        <w:t>Транснефть</w:t>
      </w:r>
      <w:proofErr w:type="spellEnd"/>
      <w:r w:rsidRPr="00D864DB">
        <w:rPr>
          <w:sz w:val="26"/>
          <w:szCs w:val="26"/>
        </w:rPr>
        <w:t>» для формирования НМЦК и при участии в закрытых запросах предложений в 2-3 раза превышали расходы ООО НПО «</w:t>
      </w:r>
      <w:proofErr w:type="spellStart"/>
      <w:r w:rsidRPr="00D864DB">
        <w:rPr>
          <w:sz w:val="26"/>
          <w:szCs w:val="26"/>
        </w:rPr>
        <w:t>Фундаментстройаркос</w:t>
      </w:r>
      <w:proofErr w:type="spellEnd"/>
      <w:r w:rsidRPr="00D864DB">
        <w:rPr>
          <w:sz w:val="26"/>
          <w:szCs w:val="26"/>
        </w:rPr>
        <w:t xml:space="preserve">» на изготовление и доставку </w:t>
      </w:r>
      <w:proofErr w:type="spellStart"/>
      <w:r w:rsidRPr="00D864DB">
        <w:rPr>
          <w:sz w:val="26"/>
          <w:szCs w:val="26"/>
        </w:rPr>
        <w:t>термостабилизаторов</w:t>
      </w:r>
      <w:proofErr w:type="spellEnd"/>
      <w:r w:rsidRPr="00D864DB">
        <w:rPr>
          <w:sz w:val="26"/>
          <w:szCs w:val="26"/>
        </w:rPr>
        <w:t xml:space="preserve"> грунта. </w:t>
      </w:r>
    </w:p>
    <w:p w:rsidR="00D864DB" w:rsidRPr="00D864DB" w:rsidRDefault="00D864DB" w:rsidP="00A22D8E">
      <w:pPr>
        <w:autoSpaceDE w:val="0"/>
        <w:autoSpaceDN w:val="0"/>
        <w:adjustRightInd w:val="0"/>
        <w:spacing w:line="276" w:lineRule="auto"/>
        <w:ind w:firstLine="567"/>
        <w:contextualSpacing/>
        <w:jc w:val="both"/>
        <w:rPr>
          <w:b/>
          <w:sz w:val="26"/>
          <w:szCs w:val="26"/>
          <w:u w:val="single"/>
        </w:rPr>
      </w:pPr>
      <w:r w:rsidRPr="00D864DB">
        <w:rPr>
          <w:sz w:val="26"/>
          <w:szCs w:val="26"/>
        </w:rPr>
        <w:t>Поскольку АО «</w:t>
      </w:r>
      <w:proofErr w:type="spellStart"/>
      <w:r w:rsidRPr="00D864DB">
        <w:rPr>
          <w:sz w:val="26"/>
          <w:szCs w:val="26"/>
        </w:rPr>
        <w:t>Конар</w:t>
      </w:r>
      <w:proofErr w:type="spellEnd"/>
      <w:r w:rsidRPr="00D864DB">
        <w:rPr>
          <w:sz w:val="26"/>
          <w:szCs w:val="26"/>
        </w:rPr>
        <w:t xml:space="preserve">» в 2012-2017 году не производило </w:t>
      </w:r>
      <w:proofErr w:type="spellStart"/>
      <w:r w:rsidRPr="00D864DB">
        <w:rPr>
          <w:sz w:val="26"/>
          <w:szCs w:val="26"/>
        </w:rPr>
        <w:t>термостабилизаторов</w:t>
      </w:r>
      <w:proofErr w:type="spellEnd"/>
      <w:r w:rsidRPr="00D864DB">
        <w:rPr>
          <w:sz w:val="26"/>
          <w:szCs w:val="26"/>
        </w:rPr>
        <w:t xml:space="preserve"> грунта, Общество не могло обладать сведениями о производственной себестоимости данных </w:t>
      </w:r>
      <w:proofErr w:type="spellStart"/>
      <w:r w:rsidRPr="00D864DB">
        <w:rPr>
          <w:sz w:val="26"/>
          <w:szCs w:val="26"/>
        </w:rPr>
        <w:t>термостабилизаторов</w:t>
      </w:r>
      <w:proofErr w:type="spellEnd"/>
      <w:r w:rsidRPr="00D864DB">
        <w:rPr>
          <w:sz w:val="26"/>
          <w:szCs w:val="26"/>
        </w:rPr>
        <w:t xml:space="preserve">, и  ценовую политику формировало </w:t>
      </w:r>
      <w:proofErr w:type="spellStart"/>
      <w:r w:rsidRPr="00D864DB">
        <w:rPr>
          <w:sz w:val="26"/>
          <w:szCs w:val="26"/>
        </w:rPr>
        <w:t>путем</w:t>
      </w:r>
      <w:proofErr w:type="spellEnd"/>
      <w:r w:rsidRPr="00D864DB">
        <w:rPr>
          <w:sz w:val="26"/>
          <w:szCs w:val="26"/>
        </w:rPr>
        <w:t xml:space="preserve"> координации действий с ООО НПО «</w:t>
      </w:r>
      <w:proofErr w:type="spellStart"/>
      <w:r w:rsidRPr="00D864DB">
        <w:rPr>
          <w:sz w:val="26"/>
          <w:szCs w:val="26"/>
        </w:rPr>
        <w:t>Фундаментстройаркос</w:t>
      </w:r>
      <w:proofErr w:type="spellEnd"/>
      <w:r w:rsidRPr="00D864DB">
        <w:rPr>
          <w:sz w:val="26"/>
          <w:szCs w:val="26"/>
        </w:rPr>
        <w:t>».  Следовательно, первоначальные ценовые предложения АО «</w:t>
      </w:r>
      <w:proofErr w:type="spellStart"/>
      <w:r w:rsidRPr="00D864DB">
        <w:rPr>
          <w:sz w:val="26"/>
          <w:szCs w:val="26"/>
        </w:rPr>
        <w:t>Конар</w:t>
      </w:r>
      <w:proofErr w:type="spellEnd"/>
      <w:r w:rsidRPr="00D864DB">
        <w:rPr>
          <w:sz w:val="26"/>
          <w:szCs w:val="26"/>
        </w:rPr>
        <w:t>», которые использовались ПАО «</w:t>
      </w:r>
      <w:proofErr w:type="spellStart"/>
      <w:r w:rsidRPr="00D864DB">
        <w:rPr>
          <w:sz w:val="26"/>
          <w:szCs w:val="26"/>
        </w:rPr>
        <w:t>Транснефть</w:t>
      </w:r>
      <w:proofErr w:type="spellEnd"/>
      <w:r w:rsidRPr="00D864DB">
        <w:rPr>
          <w:sz w:val="26"/>
          <w:szCs w:val="26"/>
        </w:rPr>
        <w:t>» при формировании НМЦК, являются экономически необоснованными.</w:t>
      </w:r>
    </w:p>
    <w:p w:rsidR="00D864DB" w:rsidRPr="00D864DB" w:rsidRDefault="00D864DB" w:rsidP="00A22D8E">
      <w:pPr>
        <w:autoSpaceDE w:val="0"/>
        <w:autoSpaceDN w:val="0"/>
        <w:adjustRightInd w:val="0"/>
        <w:spacing w:line="276" w:lineRule="auto"/>
        <w:ind w:firstLine="567"/>
        <w:contextualSpacing/>
        <w:jc w:val="both"/>
        <w:rPr>
          <w:b/>
          <w:sz w:val="26"/>
          <w:szCs w:val="26"/>
          <w:u w:val="single"/>
        </w:rPr>
      </w:pPr>
      <w:r w:rsidRPr="00D864DB">
        <w:rPr>
          <w:sz w:val="26"/>
          <w:szCs w:val="26"/>
        </w:rPr>
        <w:t>Хозяйствующие субъекты ООО НПО «</w:t>
      </w:r>
      <w:proofErr w:type="spellStart"/>
      <w:r w:rsidRPr="00D864DB">
        <w:rPr>
          <w:sz w:val="26"/>
          <w:szCs w:val="26"/>
        </w:rPr>
        <w:t>Фундаментстройаркос</w:t>
      </w:r>
      <w:proofErr w:type="spellEnd"/>
      <w:r w:rsidRPr="00D864DB">
        <w:rPr>
          <w:sz w:val="26"/>
          <w:szCs w:val="26"/>
        </w:rPr>
        <w:t>» и АО «</w:t>
      </w:r>
      <w:proofErr w:type="spellStart"/>
      <w:r w:rsidRPr="00D864DB">
        <w:rPr>
          <w:sz w:val="26"/>
          <w:szCs w:val="26"/>
        </w:rPr>
        <w:t>Конар</w:t>
      </w:r>
      <w:proofErr w:type="spellEnd"/>
      <w:r w:rsidRPr="00D864DB">
        <w:rPr>
          <w:sz w:val="26"/>
          <w:szCs w:val="26"/>
        </w:rPr>
        <w:t>» в ответ на запросы ПАО «</w:t>
      </w:r>
      <w:proofErr w:type="spellStart"/>
      <w:r w:rsidRPr="00D864DB">
        <w:rPr>
          <w:sz w:val="26"/>
          <w:szCs w:val="26"/>
        </w:rPr>
        <w:t>Транснефть</w:t>
      </w:r>
      <w:proofErr w:type="spellEnd"/>
      <w:r w:rsidRPr="00D864DB">
        <w:rPr>
          <w:sz w:val="26"/>
          <w:szCs w:val="26"/>
        </w:rPr>
        <w:t xml:space="preserve">» направляли коммерческие предложения по абсолютно идентичной форме с разницей в 1 день на протяжении 2012-2016 годов, в отдельные даты на ряд товарных наименований цены полностью совпадали. </w:t>
      </w:r>
      <w:proofErr w:type="gramStart"/>
      <w:r w:rsidRPr="00D864DB">
        <w:rPr>
          <w:sz w:val="26"/>
          <w:szCs w:val="26"/>
        </w:rPr>
        <w:t>Данное обстоятельство указывает на отсутствие самостоятельного ценообразования и наличии налаженных коммуникаций между двумя хозяйствующими субъектами, поскольку информация о ценах на выпускаемую продукцию в свободном доступе ни одним из хозяйствующих субъектов не размещена, а предоставляется исключительно по запросу, представление одинаковых цен в один и тот же день в ответ на запрос ПАО «</w:t>
      </w:r>
      <w:proofErr w:type="spellStart"/>
      <w:r w:rsidRPr="00D864DB">
        <w:rPr>
          <w:sz w:val="26"/>
          <w:szCs w:val="26"/>
        </w:rPr>
        <w:t>Транснефь</w:t>
      </w:r>
      <w:proofErr w:type="spellEnd"/>
      <w:r w:rsidRPr="00D864DB">
        <w:rPr>
          <w:sz w:val="26"/>
          <w:szCs w:val="26"/>
        </w:rPr>
        <w:t>» хозяйствующими субъектами возможно только при условии наличия между</w:t>
      </w:r>
      <w:proofErr w:type="gramEnd"/>
      <w:r w:rsidRPr="00D864DB">
        <w:rPr>
          <w:sz w:val="26"/>
          <w:szCs w:val="26"/>
        </w:rPr>
        <w:t xml:space="preserve"> ними соответствующей </w:t>
      </w:r>
      <w:proofErr w:type="spellStart"/>
      <w:r w:rsidRPr="00D864DB">
        <w:rPr>
          <w:sz w:val="26"/>
          <w:szCs w:val="26"/>
        </w:rPr>
        <w:t>договоренности</w:t>
      </w:r>
      <w:proofErr w:type="spellEnd"/>
      <w:r w:rsidRPr="00D864DB">
        <w:rPr>
          <w:sz w:val="26"/>
          <w:szCs w:val="26"/>
        </w:rPr>
        <w:t>.</w:t>
      </w:r>
      <w:r w:rsidRPr="00D864DB">
        <w:rPr>
          <w:sz w:val="26"/>
          <w:szCs w:val="26"/>
          <w:u w:val="single"/>
        </w:rPr>
        <w:t xml:space="preserve"> </w:t>
      </w:r>
    </w:p>
    <w:p w:rsidR="00D864DB" w:rsidRPr="00D864DB" w:rsidRDefault="00D864DB" w:rsidP="00A22D8E">
      <w:pPr>
        <w:autoSpaceDE w:val="0"/>
        <w:autoSpaceDN w:val="0"/>
        <w:adjustRightInd w:val="0"/>
        <w:spacing w:line="276" w:lineRule="auto"/>
        <w:ind w:firstLine="567"/>
        <w:contextualSpacing/>
        <w:jc w:val="both"/>
        <w:rPr>
          <w:b/>
          <w:sz w:val="26"/>
          <w:szCs w:val="26"/>
          <w:u w:val="single"/>
        </w:rPr>
      </w:pPr>
      <w:r w:rsidRPr="00D864DB">
        <w:rPr>
          <w:sz w:val="26"/>
          <w:szCs w:val="26"/>
        </w:rPr>
        <w:t>Направление согласованных ценовых предложений в рамках предоставления информации ПАО «</w:t>
      </w:r>
      <w:proofErr w:type="spellStart"/>
      <w:r w:rsidRPr="00D864DB">
        <w:rPr>
          <w:sz w:val="26"/>
          <w:szCs w:val="26"/>
        </w:rPr>
        <w:t>Транснефть</w:t>
      </w:r>
      <w:proofErr w:type="spellEnd"/>
      <w:r w:rsidRPr="00D864DB">
        <w:rPr>
          <w:sz w:val="26"/>
          <w:szCs w:val="26"/>
        </w:rPr>
        <w:t xml:space="preserve">» до проведения торгов </w:t>
      </w:r>
      <w:proofErr w:type="spellStart"/>
      <w:r w:rsidRPr="00D864DB">
        <w:rPr>
          <w:sz w:val="26"/>
          <w:szCs w:val="26"/>
        </w:rPr>
        <w:t>влечет</w:t>
      </w:r>
      <w:proofErr w:type="spellEnd"/>
      <w:r w:rsidRPr="00D864DB">
        <w:rPr>
          <w:sz w:val="26"/>
          <w:szCs w:val="26"/>
        </w:rPr>
        <w:t xml:space="preserve"> в конечном итоге завышение начальной максимальной цены договора поставки, что </w:t>
      </w:r>
      <w:proofErr w:type="spellStart"/>
      <w:r w:rsidRPr="00D864DB">
        <w:rPr>
          <w:sz w:val="26"/>
          <w:szCs w:val="26"/>
        </w:rPr>
        <w:t>создает</w:t>
      </w:r>
      <w:proofErr w:type="spellEnd"/>
      <w:r w:rsidRPr="00D864DB">
        <w:rPr>
          <w:sz w:val="26"/>
          <w:szCs w:val="26"/>
        </w:rPr>
        <w:t xml:space="preserve"> дополнительную выгоду для хозяйствующих субъектов – участников закрытого запроса предложений.</w:t>
      </w:r>
    </w:p>
    <w:p w:rsidR="00D864DB" w:rsidRPr="00D864DB" w:rsidRDefault="00D864DB" w:rsidP="00A22D8E">
      <w:pPr>
        <w:autoSpaceDE w:val="0"/>
        <w:autoSpaceDN w:val="0"/>
        <w:adjustRightInd w:val="0"/>
        <w:spacing w:line="276" w:lineRule="auto"/>
        <w:ind w:firstLine="567"/>
        <w:contextualSpacing/>
        <w:jc w:val="both"/>
        <w:rPr>
          <w:sz w:val="26"/>
          <w:szCs w:val="26"/>
          <w:u w:val="single"/>
        </w:rPr>
      </w:pPr>
      <w:r w:rsidRPr="00D864DB">
        <w:rPr>
          <w:sz w:val="26"/>
          <w:szCs w:val="26"/>
        </w:rPr>
        <w:t xml:space="preserve">Единообразие  и синхронность действий на этапе формирования НМЦК позволяли устанавливать завышенную цену договора поставки </w:t>
      </w:r>
      <w:proofErr w:type="spellStart"/>
      <w:r w:rsidRPr="00D864DB">
        <w:rPr>
          <w:sz w:val="26"/>
          <w:szCs w:val="26"/>
        </w:rPr>
        <w:t>термостабилизаторов</w:t>
      </w:r>
      <w:proofErr w:type="spellEnd"/>
      <w:r w:rsidRPr="00D864DB">
        <w:rPr>
          <w:sz w:val="26"/>
          <w:szCs w:val="26"/>
        </w:rPr>
        <w:t xml:space="preserve"> грунта для предприятий группы компаний «</w:t>
      </w:r>
      <w:proofErr w:type="spellStart"/>
      <w:r w:rsidRPr="00D864DB">
        <w:rPr>
          <w:sz w:val="26"/>
          <w:szCs w:val="26"/>
        </w:rPr>
        <w:t>Транснефть</w:t>
      </w:r>
      <w:proofErr w:type="spellEnd"/>
      <w:r w:rsidRPr="00D864DB">
        <w:rPr>
          <w:sz w:val="26"/>
          <w:szCs w:val="26"/>
        </w:rPr>
        <w:t xml:space="preserve">», что соответствовало интересам ответчиков и являлось следствием </w:t>
      </w:r>
      <w:proofErr w:type="spellStart"/>
      <w:r w:rsidRPr="00D864DB">
        <w:rPr>
          <w:sz w:val="26"/>
          <w:szCs w:val="26"/>
        </w:rPr>
        <w:t>заключенного</w:t>
      </w:r>
      <w:proofErr w:type="spellEnd"/>
      <w:r w:rsidRPr="00D864DB">
        <w:rPr>
          <w:sz w:val="26"/>
          <w:szCs w:val="26"/>
        </w:rPr>
        <w:t xml:space="preserve"> между ними картельного соглашения.</w:t>
      </w:r>
    </w:p>
    <w:p w:rsidR="00D864DB" w:rsidRPr="00D864DB" w:rsidRDefault="00D864DB" w:rsidP="00A22D8E">
      <w:pPr>
        <w:autoSpaceDE w:val="0"/>
        <w:autoSpaceDN w:val="0"/>
        <w:adjustRightInd w:val="0"/>
        <w:spacing w:line="276" w:lineRule="auto"/>
        <w:ind w:firstLine="567"/>
        <w:contextualSpacing/>
        <w:jc w:val="both"/>
        <w:rPr>
          <w:i/>
          <w:sz w:val="26"/>
          <w:szCs w:val="26"/>
          <w:u w:val="single"/>
        </w:rPr>
      </w:pPr>
      <w:r w:rsidRPr="00D864DB">
        <w:rPr>
          <w:i/>
          <w:sz w:val="26"/>
          <w:szCs w:val="26"/>
        </w:rPr>
        <w:t xml:space="preserve">4. Заключение долгосрочного договора на поставку </w:t>
      </w:r>
      <w:proofErr w:type="spellStart"/>
      <w:r w:rsidRPr="00D864DB">
        <w:rPr>
          <w:i/>
          <w:sz w:val="26"/>
          <w:szCs w:val="26"/>
        </w:rPr>
        <w:t>термостабилизаторов</w:t>
      </w:r>
      <w:proofErr w:type="spellEnd"/>
      <w:r w:rsidRPr="00D864DB">
        <w:rPr>
          <w:i/>
          <w:sz w:val="26"/>
          <w:szCs w:val="26"/>
        </w:rPr>
        <w:t xml:space="preserve"> грунта  </w:t>
      </w:r>
    </w:p>
    <w:p w:rsidR="00D864DB" w:rsidRPr="00D864DB" w:rsidRDefault="00D864DB" w:rsidP="00A22D8E">
      <w:pPr>
        <w:autoSpaceDE w:val="0"/>
        <w:autoSpaceDN w:val="0"/>
        <w:adjustRightInd w:val="0"/>
        <w:spacing w:line="276" w:lineRule="auto"/>
        <w:ind w:firstLine="567"/>
        <w:contextualSpacing/>
        <w:jc w:val="both"/>
        <w:rPr>
          <w:b/>
          <w:sz w:val="26"/>
          <w:szCs w:val="26"/>
          <w:u w:val="single"/>
        </w:rPr>
      </w:pPr>
      <w:r w:rsidRPr="00D864DB">
        <w:rPr>
          <w:sz w:val="26"/>
          <w:szCs w:val="26"/>
        </w:rPr>
        <w:t xml:space="preserve">В </w:t>
      </w:r>
      <w:proofErr w:type="gramStart"/>
      <w:r w:rsidRPr="00D864DB">
        <w:rPr>
          <w:sz w:val="26"/>
          <w:szCs w:val="26"/>
        </w:rPr>
        <w:t>рамках</w:t>
      </w:r>
      <w:proofErr w:type="gramEnd"/>
      <w:r w:rsidRPr="00D864DB">
        <w:rPr>
          <w:sz w:val="26"/>
          <w:szCs w:val="26"/>
        </w:rPr>
        <w:t xml:space="preserve"> реализации устного антиконкурентного соглашения </w:t>
      </w:r>
      <w:proofErr w:type="spellStart"/>
      <w:r w:rsidRPr="00D864DB">
        <w:rPr>
          <w:sz w:val="26"/>
          <w:szCs w:val="26"/>
        </w:rPr>
        <w:t>заключен</w:t>
      </w:r>
      <w:proofErr w:type="spellEnd"/>
      <w:r w:rsidRPr="00D864DB">
        <w:rPr>
          <w:sz w:val="26"/>
          <w:szCs w:val="26"/>
        </w:rPr>
        <w:t xml:space="preserve"> договор поставки </w:t>
      </w:r>
      <w:proofErr w:type="spellStart"/>
      <w:r w:rsidRPr="00D864DB">
        <w:rPr>
          <w:sz w:val="26"/>
          <w:szCs w:val="26"/>
        </w:rPr>
        <w:t>термостабилизаторов</w:t>
      </w:r>
      <w:proofErr w:type="spellEnd"/>
      <w:r w:rsidRPr="00D864DB">
        <w:rPr>
          <w:sz w:val="26"/>
          <w:szCs w:val="26"/>
        </w:rPr>
        <w:t xml:space="preserve"> грунтов. Указанный договор </w:t>
      </w:r>
      <w:proofErr w:type="spellStart"/>
      <w:r w:rsidRPr="00D864DB">
        <w:rPr>
          <w:sz w:val="26"/>
          <w:szCs w:val="26"/>
        </w:rPr>
        <w:t>заключен</w:t>
      </w:r>
      <w:proofErr w:type="spellEnd"/>
      <w:r w:rsidRPr="00D864DB">
        <w:rPr>
          <w:sz w:val="26"/>
          <w:szCs w:val="26"/>
        </w:rPr>
        <w:t xml:space="preserve"> между конкурентами, в период их участия в закрытом запросе в 2012 году. Предметом данного договора являлась поставка </w:t>
      </w:r>
      <w:proofErr w:type="spellStart"/>
      <w:r w:rsidRPr="00D864DB">
        <w:rPr>
          <w:sz w:val="26"/>
          <w:szCs w:val="26"/>
        </w:rPr>
        <w:t>термостабилизаторов</w:t>
      </w:r>
      <w:proofErr w:type="spellEnd"/>
      <w:r w:rsidRPr="00D864DB">
        <w:rPr>
          <w:sz w:val="26"/>
          <w:szCs w:val="26"/>
        </w:rPr>
        <w:t xml:space="preserve"> грунта тех же товарных наименований, которые являлись предметом закупки. При этом цена реализации указанных </w:t>
      </w:r>
      <w:proofErr w:type="spellStart"/>
      <w:r w:rsidRPr="00D864DB">
        <w:rPr>
          <w:sz w:val="26"/>
          <w:szCs w:val="26"/>
        </w:rPr>
        <w:t>термостабилизаторов</w:t>
      </w:r>
      <w:proofErr w:type="spellEnd"/>
      <w:r w:rsidRPr="00D864DB">
        <w:rPr>
          <w:sz w:val="26"/>
          <w:szCs w:val="26"/>
        </w:rPr>
        <w:t xml:space="preserve"> грунта, установленная ООО НПО «</w:t>
      </w:r>
      <w:proofErr w:type="spellStart"/>
      <w:r w:rsidRPr="00D864DB">
        <w:rPr>
          <w:sz w:val="26"/>
          <w:szCs w:val="26"/>
        </w:rPr>
        <w:t>Фундаментстройаркос</w:t>
      </w:r>
      <w:proofErr w:type="spellEnd"/>
      <w:r w:rsidRPr="00D864DB">
        <w:rPr>
          <w:sz w:val="26"/>
          <w:szCs w:val="26"/>
        </w:rPr>
        <w:t>» для АО «</w:t>
      </w:r>
      <w:proofErr w:type="spellStart"/>
      <w:r w:rsidRPr="00D864DB">
        <w:rPr>
          <w:sz w:val="26"/>
          <w:szCs w:val="26"/>
        </w:rPr>
        <w:t>Конар</w:t>
      </w:r>
      <w:proofErr w:type="spellEnd"/>
      <w:r w:rsidRPr="00D864DB">
        <w:rPr>
          <w:sz w:val="26"/>
          <w:szCs w:val="26"/>
        </w:rPr>
        <w:t xml:space="preserve">», даже с </w:t>
      </w:r>
      <w:proofErr w:type="spellStart"/>
      <w:r w:rsidRPr="00D864DB">
        <w:rPr>
          <w:sz w:val="26"/>
          <w:szCs w:val="26"/>
        </w:rPr>
        <w:t>учетом</w:t>
      </w:r>
      <w:proofErr w:type="spellEnd"/>
      <w:r w:rsidRPr="00D864DB">
        <w:rPr>
          <w:sz w:val="26"/>
          <w:szCs w:val="26"/>
        </w:rPr>
        <w:t xml:space="preserve"> транспортных расходов практически в два раза была ниже цены заявки ООО НПО «</w:t>
      </w:r>
      <w:proofErr w:type="spellStart"/>
      <w:r w:rsidRPr="00D864DB">
        <w:rPr>
          <w:sz w:val="26"/>
          <w:szCs w:val="26"/>
        </w:rPr>
        <w:t>Фундаментстройаркос</w:t>
      </w:r>
      <w:proofErr w:type="spellEnd"/>
      <w:r w:rsidRPr="00D864DB">
        <w:rPr>
          <w:sz w:val="26"/>
          <w:szCs w:val="26"/>
        </w:rPr>
        <w:t xml:space="preserve">» в соответствующей закупке. Указанный договор по мере дальнейшего участия ответчиков в закупках дополнялся соответствующими спецификациями. Поставка </w:t>
      </w:r>
      <w:proofErr w:type="spellStart"/>
      <w:r w:rsidRPr="00D864DB">
        <w:rPr>
          <w:sz w:val="26"/>
          <w:szCs w:val="26"/>
        </w:rPr>
        <w:t>термостабилизаторов</w:t>
      </w:r>
      <w:proofErr w:type="spellEnd"/>
      <w:r w:rsidRPr="00D864DB">
        <w:rPr>
          <w:sz w:val="26"/>
          <w:szCs w:val="26"/>
        </w:rPr>
        <w:t xml:space="preserve"> грунта по данному договору при этом осуществлялась не на АО «</w:t>
      </w:r>
      <w:proofErr w:type="spellStart"/>
      <w:r w:rsidRPr="00D864DB">
        <w:rPr>
          <w:sz w:val="26"/>
          <w:szCs w:val="26"/>
        </w:rPr>
        <w:t>Конар</w:t>
      </w:r>
      <w:proofErr w:type="spellEnd"/>
      <w:r w:rsidRPr="00D864DB">
        <w:rPr>
          <w:sz w:val="26"/>
          <w:szCs w:val="26"/>
        </w:rPr>
        <w:t>», а на предприятия группы компаний «</w:t>
      </w:r>
      <w:proofErr w:type="spellStart"/>
      <w:r w:rsidRPr="00D864DB">
        <w:rPr>
          <w:sz w:val="26"/>
          <w:szCs w:val="26"/>
        </w:rPr>
        <w:t>Транснефть</w:t>
      </w:r>
      <w:proofErr w:type="spellEnd"/>
      <w:r w:rsidRPr="00D864DB">
        <w:rPr>
          <w:sz w:val="26"/>
          <w:szCs w:val="26"/>
        </w:rPr>
        <w:t>», являвшиеся грузополучателями по данному договору поставки.</w:t>
      </w:r>
    </w:p>
    <w:p w:rsidR="00D864DB" w:rsidRPr="00D864DB" w:rsidRDefault="00D864DB" w:rsidP="00A22D8E">
      <w:pPr>
        <w:autoSpaceDE w:val="0"/>
        <w:autoSpaceDN w:val="0"/>
        <w:adjustRightInd w:val="0"/>
        <w:spacing w:line="276" w:lineRule="auto"/>
        <w:ind w:firstLine="567"/>
        <w:contextualSpacing/>
        <w:jc w:val="both"/>
        <w:rPr>
          <w:i/>
          <w:sz w:val="26"/>
          <w:szCs w:val="26"/>
          <w:u w:val="single"/>
        </w:rPr>
      </w:pPr>
      <w:r w:rsidRPr="00D864DB">
        <w:rPr>
          <w:i/>
          <w:sz w:val="26"/>
          <w:szCs w:val="26"/>
        </w:rPr>
        <w:t xml:space="preserve">5. Взаимная заинтересованность сторон в исполнении </w:t>
      </w:r>
      <w:proofErr w:type="spellStart"/>
      <w:r w:rsidRPr="00D864DB">
        <w:rPr>
          <w:i/>
          <w:sz w:val="26"/>
          <w:szCs w:val="26"/>
        </w:rPr>
        <w:t>заключенного</w:t>
      </w:r>
      <w:proofErr w:type="spellEnd"/>
      <w:r w:rsidRPr="00D864DB">
        <w:rPr>
          <w:i/>
          <w:sz w:val="26"/>
          <w:szCs w:val="26"/>
        </w:rPr>
        <w:t xml:space="preserve"> антиконкурентного соглашения</w:t>
      </w:r>
    </w:p>
    <w:p w:rsidR="00D864DB" w:rsidRPr="00D864DB" w:rsidRDefault="00D864DB" w:rsidP="00A22D8E">
      <w:pPr>
        <w:autoSpaceDE w:val="0"/>
        <w:autoSpaceDN w:val="0"/>
        <w:adjustRightInd w:val="0"/>
        <w:spacing w:line="276" w:lineRule="auto"/>
        <w:ind w:firstLine="567"/>
        <w:contextualSpacing/>
        <w:jc w:val="both"/>
        <w:rPr>
          <w:b/>
          <w:sz w:val="26"/>
          <w:szCs w:val="26"/>
          <w:u w:val="single"/>
        </w:rPr>
      </w:pPr>
      <w:r w:rsidRPr="00D864DB">
        <w:rPr>
          <w:sz w:val="26"/>
          <w:szCs w:val="26"/>
        </w:rPr>
        <w:t xml:space="preserve">В </w:t>
      </w:r>
      <w:proofErr w:type="gramStart"/>
      <w:r w:rsidRPr="00D864DB">
        <w:rPr>
          <w:sz w:val="26"/>
          <w:szCs w:val="26"/>
        </w:rPr>
        <w:t>результате</w:t>
      </w:r>
      <w:proofErr w:type="gramEnd"/>
      <w:r w:rsidRPr="00D864DB">
        <w:rPr>
          <w:sz w:val="26"/>
          <w:szCs w:val="26"/>
        </w:rPr>
        <w:t xml:space="preserve"> заключения картельного соглашения при минимальных рисках данные хозяйствующие субъекты получали гарантированную максимальную выгоду. АО «</w:t>
      </w:r>
      <w:proofErr w:type="spellStart"/>
      <w:r w:rsidRPr="00D864DB">
        <w:rPr>
          <w:sz w:val="26"/>
          <w:szCs w:val="26"/>
        </w:rPr>
        <w:t>Конар</w:t>
      </w:r>
      <w:proofErr w:type="spellEnd"/>
      <w:r w:rsidRPr="00D864DB">
        <w:rPr>
          <w:sz w:val="26"/>
          <w:szCs w:val="26"/>
        </w:rPr>
        <w:t xml:space="preserve">» выигрывало проводимые закупки, имея 50% показатель рентабельности по реализации </w:t>
      </w:r>
      <w:proofErr w:type="spellStart"/>
      <w:r w:rsidRPr="00D864DB">
        <w:rPr>
          <w:sz w:val="26"/>
          <w:szCs w:val="26"/>
        </w:rPr>
        <w:t>термостабилизаторов</w:t>
      </w:r>
      <w:proofErr w:type="spellEnd"/>
      <w:r w:rsidRPr="00D864DB">
        <w:rPr>
          <w:sz w:val="26"/>
          <w:szCs w:val="26"/>
        </w:rPr>
        <w:t xml:space="preserve"> грунта, а ООО НПО «</w:t>
      </w:r>
      <w:proofErr w:type="spellStart"/>
      <w:r w:rsidRPr="00D864DB">
        <w:rPr>
          <w:sz w:val="26"/>
          <w:szCs w:val="26"/>
        </w:rPr>
        <w:t>Фундаментстройаркос</w:t>
      </w:r>
      <w:proofErr w:type="spellEnd"/>
      <w:r w:rsidRPr="00D864DB">
        <w:rPr>
          <w:sz w:val="26"/>
          <w:szCs w:val="26"/>
        </w:rPr>
        <w:t xml:space="preserve">» имело постоянный налаженный канал сбыта продукции при достаточно высоких </w:t>
      </w:r>
      <w:proofErr w:type="spellStart"/>
      <w:r w:rsidRPr="00D864DB">
        <w:rPr>
          <w:sz w:val="26"/>
          <w:szCs w:val="26"/>
        </w:rPr>
        <w:t>объемах</w:t>
      </w:r>
      <w:proofErr w:type="spellEnd"/>
      <w:r w:rsidRPr="00D864DB">
        <w:rPr>
          <w:sz w:val="26"/>
          <w:szCs w:val="26"/>
        </w:rPr>
        <w:t xml:space="preserve"> производства продукции. Кроме того, ООО НПО «</w:t>
      </w:r>
      <w:proofErr w:type="spellStart"/>
      <w:r w:rsidRPr="00D864DB">
        <w:rPr>
          <w:sz w:val="26"/>
          <w:szCs w:val="26"/>
        </w:rPr>
        <w:t>Фундаментстройаркос</w:t>
      </w:r>
      <w:proofErr w:type="spellEnd"/>
      <w:r w:rsidRPr="00D864DB">
        <w:rPr>
          <w:sz w:val="26"/>
          <w:szCs w:val="26"/>
        </w:rPr>
        <w:t>», обладая рядом запатентованных технологий, заинтересовано в максимальной защите интеллектуальной собственности. Заключая договор с АО «</w:t>
      </w:r>
      <w:proofErr w:type="spellStart"/>
      <w:r w:rsidRPr="00D864DB">
        <w:rPr>
          <w:sz w:val="26"/>
          <w:szCs w:val="26"/>
        </w:rPr>
        <w:t>Конар</w:t>
      </w:r>
      <w:proofErr w:type="spellEnd"/>
      <w:r w:rsidRPr="00D864DB">
        <w:rPr>
          <w:sz w:val="26"/>
          <w:szCs w:val="26"/>
        </w:rPr>
        <w:t>», ООО НПО «</w:t>
      </w:r>
      <w:proofErr w:type="spellStart"/>
      <w:r w:rsidRPr="00D864DB">
        <w:rPr>
          <w:sz w:val="26"/>
          <w:szCs w:val="26"/>
        </w:rPr>
        <w:t>Фундаментстройаркос</w:t>
      </w:r>
      <w:proofErr w:type="spellEnd"/>
      <w:r w:rsidRPr="00D864DB">
        <w:rPr>
          <w:sz w:val="26"/>
          <w:szCs w:val="26"/>
        </w:rPr>
        <w:t xml:space="preserve">» </w:t>
      </w:r>
      <w:proofErr w:type="spellStart"/>
      <w:r w:rsidRPr="00D864DB">
        <w:rPr>
          <w:sz w:val="26"/>
          <w:szCs w:val="26"/>
        </w:rPr>
        <w:t>несет</w:t>
      </w:r>
      <w:proofErr w:type="spellEnd"/>
      <w:r w:rsidRPr="00D864DB">
        <w:rPr>
          <w:sz w:val="26"/>
          <w:szCs w:val="26"/>
        </w:rPr>
        <w:t xml:space="preserve"> меньшие риски потери интеллектуальной собственности, поскольку сотрудничество с предприятиями  «</w:t>
      </w:r>
      <w:proofErr w:type="spellStart"/>
      <w:r w:rsidRPr="00D864DB">
        <w:rPr>
          <w:sz w:val="26"/>
          <w:szCs w:val="26"/>
        </w:rPr>
        <w:t>Транснефть</w:t>
      </w:r>
      <w:proofErr w:type="spellEnd"/>
      <w:r w:rsidRPr="00D864DB">
        <w:rPr>
          <w:sz w:val="26"/>
          <w:szCs w:val="26"/>
        </w:rPr>
        <w:t xml:space="preserve">» предполагает предоставление заказчику права проведения неограниченного количества проверок  качества товара и  более обширного аудита производства. </w:t>
      </w:r>
    </w:p>
    <w:p w:rsidR="00D864DB" w:rsidRPr="00D864DB" w:rsidRDefault="00D864DB" w:rsidP="00A22D8E">
      <w:pPr>
        <w:autoSpaceDE w:val="0"/>
        <w:autoSpaceDN w:val="0"/>
        <w:adjustRightInd w:val="0"/>
        <w:spacing w:line="276" w:lineRule="auto"/>
        <w:ind w:firstLine="567"/>
        <w:contextualSpacing/>
        <w:jc w:val="both"/>
        <w:rPr>
          <w:b/>
          <w:sz w:val="26"/>
          <w:szCs w:val="26"/>
          <w:u w:val="single"/>
        </w:rPr>
      </w:pPr>
      <w:r w:rsidRPr="00D864DB">
        <w:rPr>
          <w:sz w:val="26"/>
          <w:szCs w:val="26"/>
        </w:rPr>
        <w:t>Картельный сговор ООО НПО «</w:t>
      </w:r>
      <w:proofErr w:type="spellStart"/>
      <w:r w:rsidRPr="00D864DB">
        <w:rPr>
          <w:sz w:val="26"/>
          <w:szCs w:val="26"/>
        </w:rPr>
        <w:t>Фундаментстройаркос</w:t>
      </w:r>
      <w:proofErr w:type="spellEnd"/>
      <w:r w:rsidRPr="00D864DB">
        <w:rPr>
          <w:sz w:val="26"/>
          <w:szCs w:val="26"/>
        </w:rPr>
        <w:t>» и АО «</w:t>
      </w:r>
      <w:proofErr w:type="spellStart"/>
      <w:r w:rsidRPr="00D864DB">
        <w:rPr>
          <w:sz w:val="26"/>
          <w:szCs w:val="26"/>
        </w:rPr>
        <w:t>Конар</w:t>
      </w:r>
      <w:proofErr w:type="spellEnd"/>
      <w:r w:rsidRPr="00D864DB">
        <w:rPr>
          <w:sz w:val="26"/>
          <w:szCs w:val="26"/>
        </w:rPr>
        <w:t xml:space="preserve">» </w:t>
      </w:r>
      <w:r w:rsidR="00A037FB" w:rsidRPr="00D864DB">
        <w:rPr>
          <w:sz w:val="26"/>
          <w:szCs w:val="26"/>
        </w:rPr>
        <w:t>привёл</w:t>
      </w:r>
      <w:r w:rsidRPr="00D864DB">
        <w:rPr>
          <w:sz w:val="26"/>
          <w:szCs w:val="26"/>
        </w:rPr>
        <w:t xml:space="preserve"> к значительному увеличению издержек предприятий ПАО «</w:t>
      </w:r>
      <w:proofErr w:type="spellStart"/>
      <w:r w:rsidRPr="00D864DB">
        <w:rPr>
          <w:sz w:val="26"/>
          <w:szCs w:val="26"/>
        </w:rPr>
        <w:t>Транснефть</w:t>
      </w:r>
      <w:proofErr w:type="spellEnd"/>
      <w:r w:rsidRPr="00D864DB">
        <w:rPr>
          <w:sz w:val="26"/>
          <w:szCs w:val="26"/>
        </w:rPr>
        <w:t xml:space="preserve">» на строительство стратегически важных для страны объектов нефтяной инфраструктуры. </w:t>
      </w:r>
      <w:r w:rsidRPr="00D864DB">
        <w:rPr>
          <w:rFonts w:eastAsia="Calibri"/>
          <w:sz w:val="26"/>
          <w:szCs w:val="26"/>
          <w:lang w:eastAsia="en-US"/>
        </w:rPr>
        <w:t>Комиссией установлено, что с</w:t>
      </w:r>
      <w:r w:rsidRPr="00D864DB">
        <w:rPr>
          <w:sz w:val="26"/>
          <w:szCs w:val="26"/>
        </w:rPr>
        <w:t xml:space="preserve">овокупный доход </w:t>
      </w:r>
      <w:r w:rsidRPr="00D864DB">
        <w:rPr>
          <w:rFonts w:eastAsia="Calibri"/>
          <w:sz w:val="26"/>
          <w:szCs w:val="26"/>
          <w:lang w:eastAsia="en-US"/>
        </w:rPr>
        <w:t xml:space="preserve">ответчиков </w:t>
      </w:r>
      <w:r w:rsidRPr="00D864DB">
        <w:rPr>
          <w:sz w:val="26"/>
          <w:szCs w:val="26"/>
        </w:rPr>
        <w:t xml:space="preserve">от </w:t>
      </w:r>
      <w:r w:rsidRPr="00D864DB">
        <w:rPr>
          <w:rFonts w:eastAsia="Calibri"/>
          <w:sz w:val="26"/>
          <w:szCs w:val="26"/>
          <w:lang w:eastAsia="en-US"/>
        </w:rPr>
        <w:t>заключения и участия в картельном соглашении</w:t>
      </w:r>
      <w:r w:rsidRPr="00D864DB">
        <w:rPr>
          <w:sz w:val="26"/>
          <w:szCs w:val="26"/>
        </w:rPr>
        <w:t xml:space="preserve"> </w:t>
      </w:r>
      <w:r w:rsidRPr="00D864DB">
        <w:rPr>
          <w:rFonts w:eastAsia="Calibri"/>
          <w:sz w:val="26"/>
          <w:szCs w:val="26"/>
          <w:lang w:eastAsia="en-US"/>
        </w:rPr>
        <w:t xml:space="preserve">составил </w:t>
      </w:r>
      <w:r w:rsidRPr="00D864DB">
        <w:rPr>
          <w:rFonts w:eastAsia="SimSun"/>
          <w:b/>
          <w:kern w:val="3"/>
          <w:sz w:val="26"/>
          <w:szCs w:val="26"/>
          <w:lang w:eastAsia="zh-CN" w:bidi="hi-IN"/>
        </w:rPr>
        <w:t>более 15 млрд. рублей</w:t>
      </w:r>
      <w:r w:rsidRPr="00D864DB">
        <w:rPr>
          <w:rFonts w:eastAsia="SimSun"/>
          <w:kern w:val="3"/>
          <w:sz w:val="26"/>
          <w:szCs w:val="26"/>
          <w:lang w:eastAsia="zh-CN" w:bidi="hi-IN"/>
        </w:rPr>
        <w:t>, из них д</w:t>
      </w:r>
      <w:r w:rsidRPr="00D864DB">
        <w:rPr>
          <w:sz w:val="26"/>
          <w:szCs w:val="26"/>
        </w:rPr>
        <w:t>оход АО «</w:t>
      </w:r>
      <w:proofErr w:type="spellStart"/>
      <w:r w:rsidRPr="00D864DB">
        <w:rPr>
          <w:sz w:val="26"/>
          <w:szCs w:val="26"/>
        </w:rPr>
        <w:t>Конар</w:t>
      </w:r>
      <w:proofErr w:type="spellEnd"/>
      <w:r w:rsidRPr="00D864DB">
        <w:rPr>
          <w:sz w:val="26"/>
          <w:szCs w:val="26"/>
        </w:rPr>
        <w:t xml:space="preserve">» - </w:t>
      </w:r>
      <w:r w:rsidR="005F160A" w:rsidRPr="005F160A">
        <w:rPr>
          <w:b/>
          <w:sz w:val="26"/>
          <w:szCs w:val="26"/>
        </w:rPr>
        <w:t>составил</w:t>
      </w:r>
      <w:r w:rsidR="00D245D1" w:rsidRPr="005F160A">
        <w:rPr>
          <w:b/>
          <w:sz w:val="26"/>
          <w:szCs w:val="26"/>
        </w:rPr>
        <w:t xml:space="preserve"> </w:t>
      </w:r>
      <w:r w:rsidRPr="00D864DB">
        <w:rPr>
          <w:rFonts w:eastAsia="Calibri"/>
          <w:b/>
          <w:sz w:val="26"/>
          <w:szCs w:val="26"/>
          <w:lang w:eastAsia="en-US"/>
        </w:rPr>
        <w:t>9</w:t>
      </w:r>
      <w:r w:rsidR="00D245D1" w:rsidRPr="005F160A">
        <w:rPr>
          <w:rFonts w:eastAsia="Calibri"/>
          <w:b/>
          <w:sz w:val="26"/>
          <w:szCs w:val="26"/>
          <w:lang w:eastAsia="en-US"/>
        </w:rPr>
        <w:t>,</w:t>
      </w:r>
      <w:r w:rsidRPr="00D864DB">
        <w:rPr>
          <w:rFonts w:eastAsia="Calibri"/>
          <w:b/>
          <w:sz w:val="26"/>
          <w:szCs w:val="26"/>
          <w:lang w:eastAsia="en-US"/>
        </w:rPr>
        <w:t>7</w:t>
      </w:r>
      <w:r w:rsidR="00D245D1" w:rsidRPr="005F160A">
        <w:rPr>
          <w:rFonts w:eastAsia="Calibri"/>
          <w:b/>
          <w:sz w:val="26"/>
          <w:szCs w:val="26"/>
          <w:lang w:eastAsia="en-US"/>
        </w:rPr>
        <w:t xml:space="preserve"> млрд. руб.</w:t>
      </w:r>
      <w:r w:rsidRPr="00D864DB">
        <w:rPr>
          <w:color w:val="000000"/>
          <w:sz w:val="26"/>
          <w:szCs w:val="26"/>
        </w:rPr>
        <w:t xml:space="preserve"> (доход от </w:t>
      </w:r>
      <w:r w:rsidR="005F160A" w:rsidRPr="00D864DB">
        <w:rPr>
          <w:color w:val="000000"/>
          <w:sz w:val="26"/>
          <w:szCs w:val="26"/>
        </w:rPr>
        <w:t>заключённых</w:t>
      </w:r>
      <w:r w:rsidRPr="00D864DB">
        <w:rPr>
          <w:color w:val="000000"/>
          <w:sz w:val="26"/>
          <w:szCs w:val="26"/>
        </w:rPr>
        <w:t xml:space="preserve"> по результатам закрытых запросов предложений контрактов)</w:t>
      </w:r>
      <w:r w:rsidRPr="00D864DB">
        <w:rPr>
          <w:rFonts w:eastAsia="Calibri"/>
          <w:sz w:val="26"/>
          <w:szCs w:val="26"/>
          <w:lang w:eastAsia="en-US"/>
        </w:rPr>
        <w:t>, д</w:t>
      </w:r>
      <w:r w:rsidRPr="00D864DB">
        <w:rPr>
          <w:sz w:val="26"/>
          <w:szCs w:val="26"/>
        </w:rPr>
        <w:t>оход ООО НПО «</w:t>
      </w:r>
      <w:proofErr w:type="spellStart"/>
      <w:r w:rsidRPr="00D864DB">
        <w:rPr>
          <w:sz w:val="26"/>
          <w:szCs w:val="26"/>
        </w:rPr>
        <w:t>Фундаментстройаркос</w:t>
      </w:r>
      <w:proofErr w:type="spellEnd"/>
      <w:r w:rsidRPr="00D864DB">
        <w:rPr>
          <w:sz w:val="26"/>
          <w:szCs w:val="26"/>
        </w:rPr>
        <w:t xml:space="preserve">» - </w:t>
      </w:r>
      <w:r w:rsidRPr="00D864DB">
        <w:rPr>
          <w:b/>
          <w:color w:val="000000"/>
          <w:sz w:val="26"/>
          <w:szCs w:val="26"/>
        </w:rPr>
        <w:t>5</w:t>
      </w:r>
      <w:r w:rsidR="00D245D1" w:rsidRPr="00133A33">
        <w:rPr>
          <w:b/>
          <w:color w:val="000000"/>
          <w:sz w:val="26"/>
          <w:szCs w:val="26"/>
        </w:rPr>
        <w:t>,3 млрд.</w:t>
      </w:r>
      <w:r w:rsidRPr="00D864DB">
        <w:rPr>
          <w:b/>
          <w:color w:val="000000"/>
          <w:sz w:val="26"/>
          <w:szCs w:val="26"/>
        </w:rPr>
        <w:t xml:space="preserve"> руб</w:t>
      </w:r>
      <w:r w:rsidRPr="00D864DB">
        <w:rPr>
          <w:color w:val="000000"/>
          <w:sz w:val="26"/>
          <w:szCs w:val="26"/>
        </w:rPr>
        <w:t>. (доход по договору № ФСА-КНР-1 от 13.08.2012)</w:t>
      </w:r>
      <w:r w:rsidRPr="00D864DB">
        <w:rPr>
          <w:rFonts w:eastAsia="Calibri"/>
          <w:sz w:val="26"/>
          <w:szCs w:val="26"/>
          <w:lang w:eastAsia="en-US"/>
        </w:rPr>
        <w:t>.</w:t>
      </w:r>
    </w:p>
    <w:p w:rsidR="005F160A" w:rsidRPr="00CE40C0" w:rsidRDefault="005F160A" w:rsidP="005F160A">
      <w:pPr>
        <w:widowControl w:val="0"/>
        <w:spacing w:line="276" w:lineRule="auto"/>
        <w:ind w:firstLine="709"/>
        <w:jc w:val="both"/>
        <w:rPr>
          <w:b/>
          <w:sz w:val="26"/>
          <w:szCs w:val="26"/>
        </w:rPr>
      </w:pPr>
      <w:r w:rsidRPr="00163A87">
        <w:rPr>
          <w:sz w:val="26"/>
          <w:szCs w:val="26"/>
        </w:rPr>
        <w:t>Участник</w:t>
      </w:r>
      <w:r>
        <w:rPr>
          <w:sz w:val="26"/>
          <w:szCs w:val="26"/>
        </w:rPr>
        <w:t>и</w:t>
      </w:r>
      <w:r w:rsidRPr="00163A87">
        <w:rPr>
          <w:sz w:val="26"/>
          <w:szCs w:val="26"/>
        </w:rPr>
        <w:t xml:space="preserve"> картельного соглашения на торгах</w:t>
      </w:r>
      <w:r>
        <w:rPr>
          <w:sz w:val="26"/>
          <w:szCs w:val="26"/>
        </w:rPr>
        <w:t xml:space="preserve"> </w:t>
      </w:r>
      <w:r>
        <w:rPr>
          <w:sz w:val="26"/>
          <w:szCs w:val="26"/>
        </w:rPr>
        <w:t>будут привлечены</w:t>
      </w:r>
      <w:r w:rsidRPr="00163A87">
        <w:rPr>
          <w:sz w:val="26"/>
          <w:szCs w:val="26"/>
        </w:rPr>
        <w:t xml:space="preserve"> к административной ответственности</w:t>
      </w:r>
      <w:r>
        <w:rPr>
          <w:sz w:val="26"/>
          <w:szCs w:val="26"/>
        </w:rPr>
        <w:t xml:space="preserve">  по ст.14.32 КоАП РФ</w:t>
      </w:r>
      <w:r>
        <w:rPr>
          <w:sz w:val="26"/>
          <w:szCs w:val="26"/>
        </w:rPr>
        <w:t xml:space="preserve">, </w:t>
      </w:r>
      <w:r>
        <w:rPr>
          <w:sz w:val="26"/>
          <w:szCs w:val="26"/>
        </w:rPr>
        <w:t xml:space="preserve">размер штрафа будет рассчитан в зависимости от </w:t>
      </w:r>
      <w:r>
        <w:rPr>
          <w:sz w:val="26"/>
          <w:szCs w:val="26"/>
        </w:rPr>
        <w:t>полученной правонарушителями</w:t>
      </w:r>
      <w:r>
        <w:rPr>
          <w:sz w:val="26"/>
          <w:szCs w:val="26"/>
        </w:rPr>
        <w:t xml:space="preserve"> выручки. </w:t>
      </w:r>
      <w:bookmarkStart w:id="0" w:name="_GoBack"/>
      <w:bookmarkEnd w:id="0"/>
    </w:p>
    <w:p w:rsidR="008216A4" w:rsidRDefault="008216A4" w:rsidP="002D41D3">
      <w:pPr>
        <w:pStyle w:val="a9"/>
        <w:widowControl w:val="0"/>
        <w:ind w:firstLine="0"/>
        <w:jc w:val="center"/>
        <w:rPr>
          <w:b/>
          <w:sz w:val="26"/>
          <w:szCs w:val="26"/>
        </w:rPr>
      </w:pPr>
    </w:p>
    <w:p w:rsidR="00BF4981" w:rsidRPr="000605F0" w:rsidRDefault="00BF4981" w:rsidP="002D41D3">
      <w:pPr>
        <w:pStyle w:val="a9"/>
        <w:widowControl w:val="0"/>
        <w:ind w:firstLine="0"/>
        <w:jc w:val="center"/>
        <w:rPr>
          <w:b/>
          <w:sz w:val="26"/>
          <w:szCs w:val="26"/>
          <w:u w:val="single"/>
        </w:rPr>
      </w:pPr>
      <w:r w:rsidRPr="000605F0">
        <w:rPr>
          <w:b/>
          <w:sz w:val="26"/>
          <w:szCs w:val="26"/>
          <w:u w:val="single"/>
        </w:rPr>
        <w:t>Ответственность за осуществление монополистической деятельности:</w:t>
      </w:r>
    </w:p>
    <w:p w:rsidR="002D41D3" w:rsidRPr="000605F0" w:rsidRDefault="001D54F4" w:rsidP="002D41D3">
      <w:pPr>
        <w:pStyle w:val="a9"/>
        <w:widowControl w:val="0"/>
        <w:ind w:firstLine="0"/>
        <w:jc w:val="center"/>
        <w:rPr>
          <w:i/>
          <w:sz w:val="26"/>
          <w:szCs w:val="26"/>
        </w:rPr>
      </w:pPr>
      <w:r w:rsidRPr="000605F0">
        <w:rPr>
          <w:i/>
          <w:sz w:val="26"/>
          <w:szCs w:val="26"/>
        </w:rPr>
        <w:t xml:space="preserve">практика применения мер </w:t>
      </w:r>
      <w:r w:rsidR="00163DDE" w:rsidRPr="000605F0">
        <w:rPr>
          <w:i/>
          <w:sz w:val="26"/>
          <w:szCs w:val="26"/>
        </w:rPr>
        <w:t xml:space="preserve">административной </w:t>
      </w:r>
      <w:r w:rsidR="00366AE5" w:rsidRPr="000605F0">
        <w:rPr>
          <w:i/>
          <w:sz w:val="26"/>
          <w:szCs w:val="26"/>
        </w:rPr>
        <w:t>ответственности</w:t>
      </w:r>
      <w:r w:rsidR="00163DDE" w:rsidRPr="000605F0">
        <w:rPr>
          <w:i/>
          <w:sz w:val="26"/>
          <w:szCs w:val="26"/>
        </w:rPr>
        <w:t xml:space="preserve"> </w:t>
      </w:r>
    </w:p>
    <w:p w:rsidR="00BF4981" w:rsidRDefault="00163DDE" w:rsidP="002D41D3">
      <w:pPr>
        <w:pStyle w:val="a9"/>
        <w:widowControl w:val="0"/>
        <w:ind w:firstLine="0"/>
        <w:jc w:val="center"/>
        <w:rPr>
          <w:i/>
          <w:sz w:val="26"/>
          <w:szCs w:val="26"/>
        </w:rPr>
      </w:pPr>
      <w:r w:rsidRPr="000605F0">
        <w:rPr>
          <w:i/>
          <w:sz w:val="26"/>
          <w:szCs w:val="26"/>
        </w:rPr>
        <w:t xml:space="preserve">за нарушение </w:t>
      </w:r>
      <w:r w:rsidR="00BF4981" w:rsidRPr="000605F0">
        <w:rPr>
          <w:i/>
          <w:sz w:val="26"/>
          <w:szCs w:val="26"/>
        </w:rPr>
        <w:t xml:space="preserve">антимонопольных запретов в </w:t>
      </w:r>
      <w:r w:rsidR="005F160A" w:rsidRPr="000605F0">
        <w:rPr>
          <w:i/>
          <w:sz w:val="26"/>
          <w:szCs w:val="26"/>
        </w:rPr>
        <w:t>первом полугодии 2018 года</w:t>
      </w:r>
    </w:p>
    <w:p w:rsidR="000605F0" w:rsidRPr="000605F0" w:rsidRDefault="000605F0" w:rsidP="002D41D3">
      <w:pPr>
        <w:pStyle w:val="a9"/>
        <w:widowControl w:val="0"/>
        <w:ind w:firstLine="0"/>
        <w:jc w:val="center"/>
        <w:rPr>
          <w:i/>
          <w:sz w:val="26"/>
          <w:szCs w:val="26"/>
        </w:rPr>
      </w:pPr>
    </w:p>
    <w:p w:rsidR="00836E10" w:rsidRPr="00163A87" w:rsidRDefault="00836E10" w:rsidP="00836E10">
      <w:pPr>
        <w:pStyle w:val="a9"/>
        <w:widowControl w:val="0"/>
        <w:spacing w:before="120" w:line="276" w:lineRule="auto"/>
        <w:ind w:firstLine="454"/>
        <w:rPr>
          <w:sz w:val="26"/>
          <w:szCs w:val="26"/>
        </w:rPr>
      </w:pPr>
      <w:r w:rsidRPr="00163A87">
        <w:rPr>
          <w:sz w:val="26"/>
          <w:szCs w:val="26"/>
        </w:rPr>
        <w:t>Антимонопольное управление наделено полномочиями по привлечению к административной ответственности, в том числе за нарушение антимонопольного законодательства на товарных и финансовых рынках.</w:t>
      </w:r>
    </w:p>
    <w:p w:rsidR="00836E10" w:rsidRPr="00163A87" w:rsidRDefault="00836E10" w:rsidP="002D41D3">
      <w:pPr>
        <w:spacing w:before="120" w:line="276" w:lineRule="auto"/>
        <w:ind w:firstLine="454"/>
        <w:jc w:val="both"/>
        <w:rPr>
          <w:sz w:val="26"/>
          <w:szCs w:val="26"/>
        </w:rPr>
      </w:pPr>
      <w:r w:rsidRPr="00163A87">
        <w:rPr>
          <w:sz w:val="26"/>
          <w:szCs w:val="26"/>
        </w:rPr>
        <w:t>Привлечение виновного лица к административной ответственности является неизбежным условием завершения процесса, начатого при возбуждении дела.</w:t>
      </w:r>
    </w:p>
    <w:p w:rsidR="00B465D3" w:rsidRPr="00163A87" w:rsidRDefault="00836E10" w:rsidP="002D41D3">
      <w:pPr>
        <w:spacing w:before="120" w:line="276" w:lineRule="auto"/>
        <w:ind w:firstLine="454"/>
        <w:jc w:val="both"/>
        <w:rPr>
          <w:sz w:val="26"/>
          <w:szCs w:val="26"/>
        </w:rPr>
      </w:pPr>
      <w:r w:rsidRPr="00163A87">
        <w:rPr>
          <w:sz w:val="26"/>
          <w:szCs w:val="26"/>
        </w:rPr>
        <w:t>Таким образом, в</w:t>
      </w:r>
      <w:r w:rsidR="002D41D3" w:rsidRPr="00163A87">
        <w:rPr>
          <w:sz w:val="26"/>
          <w:szCs w:val="26"/>
        </w:rPr>
        <w:t xml:space="preserve"> случае выявления антимонопольным органом нарушения антимонопольного законодательства </w:t>
      </w:r>
      <w:r w:rsidRPr="00163A87">
        <w:rPr>
          <w:sz w:val="26"/>
          <w:szCs w:val="26"/>
        </w:rPr>
        <w:t>юридическое и  (или) должностное лицо будут в обязательном порядке привлечены к ответственности.</w:t>
      </w:r>
    </w:p>
    <w:p w:rsidR="00CC0754" w:rsidRPr="00163A87" w:rsidRDefault="00CC0754" w:rsidP="00CC0754">
      <w:pPr>
        <w:spacing w:before="120" w:line="276" w:lineRule="auto"/>
        <w:ind w:firstLine="454"/>
        <w:jc w:val="both"/>
        <w:rPr>
          <w:sz w:val="26"/>
          <w:szCs w:val="26"/>
        </w:rPr>
      </w:pPr>
      <w:proofErr w:type="gramStart"/>
      <w:r w:rsidRPr="00163A87">
        <w:rPr>
          <w:sz w:val="26"/>
          <w:szCs w:val="26"/>
        </w:rPr>
        <w:t xml:space="preserve">Размер штрафных санкций </w:t>
      </w:r>
      <w:r w:rsidRPr="00163A87">
        <w:rPr>
          <w:b/>
          <w:sz w:val="26"/>
          <w:szCs w:val="26"/>
        </w:rPr>
        <w:t>за злоупотребление доминирующим положением</w:t>
      </w:r>
      <w:r w:rsidRPr="00163A87">
        <w:rPr>
          <w:sz w:val="26"/>
          <w:szCs w:val="26"/>
        </w:rPr>
        <w:t xml:space="preserve"> определён </w:t>
      </w:r>
      <w:r w:rsidRPr="00163A87">
        <w:rPr>
          <w:sz w:val="26"/>
          <w:szCs w:val="26"/>
          <w:u w:val="single"/>
        </w:rPr>
        <w:t>в статье 14.31 КоАП РФ</w:t>
      </w:r>
      <w:r w:rsidRPr="00163A87">
        <w:rPr>
          <w:sz w:val="26"/>
          <w:szCs w:val="26"/>
        </w:rPr>
        <w:t xml:space="preserve">: величина штрафных санкций для субъекта естественной монополии определяется антимонопольным органом </w:t>
      </w:r>
      <w:r w:rsidRPr="00163A87">
        <w:rPr>
          <w:sz w:val="26"/>
          <w:szCs w:val="26"/>
          <w:u w:val="single"/>
        </w:rPr>
        <w:t>в зависимости от суммы выручки</w:t>
      </w:r>
      <w:r w:rsidRPr="00163A87">
        <w:rPr>
          <w:sz w:val="26"/>
          <w:szCs w:val="26"/>
        </w:rPr>
        <w:t xml:space="preserve">, полученной за год (до 15%), но не может быть менее 100 тысяч рублей, для иных юридических лиц, штраф может </w:t>
      </w:r>
      <w:r w:rsidRPr="00163A87">
        <w:rPr>
          <w:sz w:val="26"/>
          <w:szCs w:val="26"/>
          <w:u w:val="single"/>
        </w:rPr>
        <w:t>составить от трёхсот тысяч до миллиона рублей</w:t>
      </w:r>
      <w:r w:rsidRPr="00163A87">
        <w:rPr>
          <w:sz w:val="26"/>
          <w:szCs w:val="26"/>
        </w:rPr>
        <w:t xml:space="preserve">. </w:t>
      </w:r>
      <w:proofErr w:type="gramEnd"/>
    </w:p>
    <w:p w:rsidR="002D41D3" w:rsidRPr="00163A87" w:rsidRDefault="002D41D3" w:rsidP="002D41D3">
      <w:pPr>
        <w:pStyle w:val="1"/>
        <w:widowControl w:val="0"/>
        <w:spacing w:before="120" w:line="276" w:lineRule="auto"/>
        <w:ind w:firstLine="680"/>
        <w:jc w:val="both"/>
        <w:rPr>
          <w:b w:val="0"/>
          <w:sz w:val="26"/>
          <w:szCs w:val="26"/>
        </w:rPr>
      </w:pPr>
      <w:r w:rsidRPr="00163A87">
        <w:rPr>
          <w:b w:val="0"/>
          <w:sz w:val="26"/>
          <w:szCs w:val="26"/>
        </w:rPr>
        <w:t xml:space="preserve">Ответственность </w:t>
      </w:r>
      <w:r w:rsidRPr="00163A87">
        <w:rPr>
          <w:sz w:val="26"/>
          <w:szCs w:val="26"/>
        </w:rPr>
        <w:t>за заключение ограничивающего конкуренцию соглашения</w:t>
      </w:r>
      <w:r w:rsidRPr="00163A87">
        <w:rPr>
          <w:b w:val="0"/>
          <w:sz w:val="26"/>
          <w:szCs w:val="26"/>
        </w:rPr>
        <w:t xml:space="preserve"> предусмотрена </w:t>
      </w:r>
      <w:r w:rsidRPr="00163A87">
        <w:rPr>
          <w:b w:val="0"/>
          <w:sz w:val="26"/>
          <w:szCs w:val="26"/>
          <w:u w:val="single"/>
        </w:rPr>
        <w:t>в статье 14.32 КоАП РФ</w:t>
      </w:r>
      <w:r w:rsidRPr="00163A87">
        <w:rPr>
          <w:b w:val="0"/>
          <w:sz w:val="26"/>
          <w:szCs w:val="26"/>
        </w:rPr>
        <w:t xml:space="preserve">. Сумма штрафа определяется антимонопольным органом в зависимости от суммы  полученной  выручки или расходов  правонарушителя на приобретение товара, но не может быть менее 100 тысяч рублей </w:t>
      </w:r>
    </w:p>
    <w:p w:rsidR="00163A87" w:rsidRPr="00163A87" w:rsidRDefault="00163A87" w:rsidP="00163A87">
      <w:pPr>
        <w:pStyle w:val="a9"/>
        <w:widowControl w:val="0"/>
        <w:spacing w:before="120" w:line="276" w:lineRule="auto"/>
        <w:ind w:firstLine="454"/>
        <w:rPr>
          <w:sz w:val="26"/>
          <w:szCs w:val="26"/>
        </w:rPr>
      </w:pPr>
      <w:r w:rsidRPr="00163A87">
        <w:rPr>
          <w:sz w:val="26"/>
          <w:szCs w:val="26"/>
        </w:rPr>
        <w:t>Все выданные антимонопольным управлением постановления о привлечении к административной ответственности  оспариваются в суде. В настоящее время в процессе судебного оспаривания находятся 6 постановлений о привлечении лиц к административной ответственности за нарушение антимонопольного законодательства (ст.14.31-14.32 КоАП РФ).</w:t>
      </w:r>
    </w:p>
    <w:p w:rsidR="00163A87" w:rsidRPr="00163A87" w:rsidRDefault="00163A87" w:rsidP="00163A87">
      <w:pPr>
        <w:pStyle w:val="a9"/>
        <w:widowControl w:val="0"/>
        <w:spacing w:before="120" w:line="276" w:lineRule="auto"/>
        <w:ind w:firstLine="454"/>
        <w:rPr>
          <w:sz w:val="26"/>
          <w:szCs w:val="26"/>
        </w:rPr>
      </w:pPr>
      <w:r w:rsidRPr="00163A87">
        <w:rPr>
          <w:sz w:val="26"/>
          <w:szCs w:val="26"/>
        </w:rPr>
        <w:t xml:space="preserve">Практика показывает, что большинство принятых антимонопольным управлением решений и постановлений признаются судами  законными и остаются в силе. </w:t>
      </w:r>
      <w:r w:rsidR="00D45B26">
        <w:rPr>
          <w:sz w:val="26"/>
          <w:szCs w:val="26"/>
        </w:rPr>
        <w:t>П</w:t>
      </w:r>
      <w:r w:rsidRPr="00163A87">
        <w:rPr>
          <w:sz w:val="26"/>
          <w:szCs w:val="26"/>
        </w:rPr>
        <w:t>остановления признаются судами законными, но размер штрафных санкций суды зачастую значительно снижают.</w:t>
      </w:r>
    </w:p>
    <w:p w:rsidR="00836E10" w:rsidRPr="00163A87" w:rsidRDefault="00836E10" w:rsidP="00D222BA">
      <w:pPr>
        <w:pStyle w:val="a9"/>
        <w:widowControl w:val="0"/>
        <w:spacing w:before="120" w:line="276" w:lineRule="auto"/>
        <w:ind w:firstLine="454"/>
        <w:rPr>
          <w:sz w:val="26"/>
          <w:szCs w:val="26"/>
        </w:rPr>
      </w:pPr>
      <w:r w:rsidRPr="00163A87">
        <w:rPr>
          <w:sz w:val="26"/>
          <w:szCs w:val="26"/>
        </w:rPr>
        <w:t xml:space="preserve">Результатом деятельности Тюменского УФАС России в </w:t>
      </w:r>
      <w:r w:rsidR="00AC4106">
        <w:rPr>
          <w:sz w:val="26"/>
          <w:szCs w:val="26"/>
        </w:rPr>
        <w:t>первой половине текущего года</w:t>
      </w:r>
      <w:r w:rsidRPr="00163A87">
        <w:rPr>
          <w:sz w:val="26"/>
          <w:szCs w:val="26"/>
        </w:rPr>
        <w:t xml:space="preserve"> в </w:t>
      </w:r>
      <w:r w:rsidR="00844418" w:rsidRPr="00163A87">
        <w:rPr>
          <w:sz w:val="26"/>
          <w:szCs w:val="26"/>
        </w:rPr>
        <w:t xml:space="preserve">части исполнения полномочий по привлечению к административной ответственности лиц, в отношении которых принято решение о наличии правонарушения, предусмотренного </w:t>
      </w:r>
      <w:r w:rsidRPr="00163A87">
        <w:rPr>
          <w:sz w:val="26"/>
          <w:szCs w:val="26"/>
        </w:rPr>
        <w:t xml:space="preserve"> </w:t>
      </w:r>
      <w:r w:rsidR="00844418" w:rsidRPr="00163A87">
        <w:rPr>
          <w:sz w:val="26"/>
          <w:szCs w:val="26"/>
        </w:rPr>
        <w:t>статьями 14.31 и 14.32 КоАП РФ</w:t>
      </w:r>
      <w:r w:rsidR="00163A87" w:rsidRPr="00163A87">
        <w:rPr>
          <w:sz w:val="26"/>
          <w:szCs w:val="26"/>
        </w:rPr>
        <w:t>,</w:t>
      </w:r>
      <w:r w:rsidR="00844418" w:rsidRPr="00163A87">
        <w:rPr>
          <w:sz w:val="26"/>
          <w:szCs w:val="26"/>
        </w:rPr>
        <w:t xml:space="preserve"> </w:t>
      </w:r>
      <w:r w:rsidRPr="00163A87">
        <w:rPr>
          <w:sz w:val="26"/>
          <w:szCs w:val="26"/>
        </w:rPr>
        <w:t>является следующее.</w:t>
      </w:r>
    </w:p>
    <w:p w:rsidR="00844418" w:rsidRPr="00163A87" w:rsidRDefault="00844418" w:rsidP="00825C77">
      <w:pPr>
        <w:pStyle w:val="a9"/>
        <w:widowControl w:val="0"/>
        <w:numPr>
          <w:ilvl w:val="0"/>
          <w:numId w:val="17"/>
        </w:numPr>
        <w:spacing w:before="120" w:line="276" w:lineRule="auto"/>
        <w:ind w:left="357" w:hanging="357"/>
        <w:rPr>
          <w:b/>
          <w:sz w:val="26"/>
          <w:szCs w:val="26"/>
        </w:rPr>
      </w:pPr>
      <w:r w:rsidRPr="00163A87">
        <w:rPr>
          <w:sz w:val="26"/>
          <w:szCs w:val="26"/>
        </w:rPr>
        <w:t xml:space="preserve">Сумма штрафа, наложенного </w:t>
      </w:r>
      <w:r w:rsidR="00AC4106">
        <w:rPr>
          <w:sz w:val="26"/>
          <w:szCs w:val="26"/>
        </w:rPr>
        <w:t xml:space="preserve">на юридических и должностных лиц </w:t>
      </w:r>
      <w:r w:rsidR="00257F51" w:rsidRPr="00163A87">
        <w:rPr>
          <w:sz w:val="26"/>
          <w:szCs w:val="26"/>
        </w:rPr>
        <w:t xml:space="preserve">по </w:t>
      </w:r>
      <w:r w:rsidR="00257F51" w:rsidRPr="000605F0">
        <w:rPr>
          <w:b/>
          <w:sz w:val="26"/>
          <w:szCs w:val="26"/>
        </w:rPr>
        <w:t>ст.14.31</w:t>
      </w:r>
      <w:r w:rsidR="00257F51" w:rsidRPr="00163A87">
        <w:rPr>
          <w:sz w:val="26"/>
          <w:szCs w:val="26"/>
        </w:rPr>
        <w:t xml:space="preserve"> КоАП РФ </w:t>
      </w:r>
      <w:r w:rsidRPr="00163A87">
        <w:rPr>
          <w:sz w:val="26"/>
          <w:szCs w:val="26"/>
        </w:rPr>
        <w:t xml:space="preserve">за злоупотребление доминирующим положение на товарном рынке составила </w:t>
      </w:r>
      <w:r w:rsidR="005F160A" w:rsidRPr="00AC4106">
        <w:rPr>
          <w:b/>
          <w:sz w:val="26"/>
          <w:szCs w:val="26"/>
        </w:rPr>
        <w:t xml:space="preserve">3,8 </w:t>
      </w:r>
      <w:r w:rsidRPr="00AC4106">
        <w:rPr>
          <w:b/>
          <w:sz w:val="26"/>
          <w:szCs w:val="26"/>
        </w:rPr>
        <w:t xml:space="preserve"> млн. рублей</w:t>
      </w:r>
      <w:r w:rsidRPr="00163A87">
        <w:rPr>
          <w:b/>
          <w:sz w:val="26"/>
          <w:szCs w:val="26"/>
        </w:rPr>
        <w:t xml:space="preserve"> </w:t>
      </w:r>
    </w:p>
    <w:p w:rsidR="00844418" w:rsidRPr="00D45B26" w:rsidRDefault="00844418" w:rsidP="00AC4106">
      <w:pPr>
        <w:pStyle w:val="a9"/>
        <w:widowControl w:val="0"/>
        <w:numPr>
          <w:ilvl w:val="0"/>
          <w:numId w:val="17"/>
        </w:numPr>
        <w:spacing w:before="120" w:line="276" w:lineRule="auto"/>
        <w:rPr>
          <w:sz w:val="26"/>
          <w:szCs w:val="26"/>
        </w:rPr>
      </w:pPr>
      <w:r w:rsidRPr="00163A87">
        <w:rPr>
          <w:sz w:val="26"/>
          <w:szCs w:val="26"/>
        </w:rPr>
        <w:t xml:space="preserve">Сумма штрафа, наложенного </w:t>
      </w:r>
      <w:r w:rsidR="00AC4106">
        <w:rPr>
          <w:sz w:val="26"/>
          <w:szCs w:val="26"/>
        </w:rPr>
        <w:t xml:space="preserve">на юридических и должностных лиц </w:t>
      </w:r>
      <w:r w:rsidR="00257F51" w:rsidRPr="00163A87">
        <w:rPr>
          <w:sz w:val="26"/>
          <w:szCs w:val="26"/>
        </w:rPr>
        <w:t xml:space="preserve">по </w:t>
      </w:r>
      <w:r w:rsidR="00257F51" w:rsidRPr="000605F0">
        <w:rPr>
          <w:b/>
          <w:sz w:val="26"/>
          <w:szCs w:val="26"/>
        </w:rPr>
        <w:t>ст.14.32</w:t>
      </w:r>
      <w:r w:rsidR="00257F51" w:rsidRPr="00163A87">
        <w:rPr>
          <w:sz w:val="26"/>
          <w:szCs w:val="26"/>
        </w:rPr>
        <w:t xml:space="preserve"> КоАП РФ </w:t>
      </w:r>
      <w:r w:rsidRPr="00163A87">
        <w:rPr>
          <w:sz w:val="26"/>
          <w:szCs w:val="26"/>
        </w:rPr>
        <w:t xml:space="preserve">за заключение </w:t>
      </w:r>
      <w:r w:rsidR="00257F51" w:rsidRPr="00163A87">
        <w:rPr>
          <w:sz w:val="26"/>
          <w:szCs w:val="26"/>
        </w:rPr>
        <w:t>антиконкурентных соглашений</w:t>
      </w:r>
      <w:r w:rsidRPr="00163A87">
        <w:rPr>
          <w:sz w:val="26"/>
          <w:szCs w:val="26"/>
        </w:rPr>
        <w:t xml:space="preserve"> составила </w:t>
      </w:r>
      <w:r w:rsidR="00AC4106" w:rsidRPr="00AC4106">
        <w:rPr>
          <w:b/>
          <w:sz w:val="26"/>
          <w:szCs w:val="26"/>
        </w:rPr>
        <w:t>273</w:t>
      </w:r>
      <w:r w:rsidRPr="00AC4106">
        <w:rPr>
          <w:b/>
          <w:sz w:val="26"/>
          <w:szCs w:val="26"/>
        </w:rPr>
        <w:t xml:space="preserve"> м</w:t>
      </w:r>
      <w:r w:rsidRPr="00163A87">
        <w:rPr>
          <w:b/>
          <w:sz w:val="26"/>
          <w:szCs w:val="26"/>
        </w:rPr>
        <w:t>лн. рублей</w:t>
      </w:r>
      <w:r w:rsidR="00D45B26">
        <w:rPr>
          <w:b/>
          <w:sz w:val="26"/>
          <w:szCs w:val="26"/>
        </w:rPr>
        <w:t>.</w:t>
      </w:r>
    </w:p>
    <w:p w:rsidR="00D45B26" w:rsidRPr="00161162" w:rsidRDefault="00D45B26" w:rsidP="00161162">
      <w:pPr>
        <w:pStyle w:val="a9"/>
        <w:widowControl w:val="0"/>
        <w:spacing w:before="120" w:line="276" w:lineRule="auto"/>
        <w:ind w:left="360" w:firstLine="0"/>
        <w:rPr>
          <w:sz w:val="26"/>
          <w:szCs w:val="26"/>
        </w:rPr>
      </w:pPr>
      <w:r w:rsidRPr="00161162">
        <w:rPr>
          <w:sz w:val="26"/>
          <w:szCs w:val="26"/>
        </w:rPr>
        <w:t xml:space="preserve">Для сравнения: размер </w:t>
      </w:r>
      <w:r w:rsidRPr="00161162">
        <w:rPr>
          <w:sz w:val="26"/>
          <w:szCs w:val="26"/>
        </w:rPr>
        <w:t>штрафных санкций</w:t>
      </w:r>
      <w:r w:rsidRPr="00161162">
        <w:rPr>
          <w:sz w:val="26"/>
          <w:szCs w:val="26"/>
        </w:rPr>
        <w:t>,</w:t>
      </w:r>
      <w:r w:rsidRPr="00161162">
        <w:rPr>
          <w:sz w:val="26"/>
          <w:szCs w:val="26"/>
        </w:rPr>
        <w:t xml:space="preserve"> </w:t>
      </w:r>
      <w:r w:rsidRPr="00161162">
        <w:rPr>
          <w:sz w:val="26"/>
          <w:szCs w:val="26"/>
        </w:rPr>
        <w:t xml:space="preserve">применённых управлением по ст.14.32 </w:t>
      </w:r>
      <w:r w:rsidR="00161162">
        <w:rPr>
          <w:sz w:val="26"/>
          <w:szCs w:val="26"/>
        </w:rPr>
        <w:t xml:space="preserve">КоАП РФ </w:t>
      </w:r>
      <w:r w:rsidR="00161162">
        <w:rPr>
          <w:sz w:val="26"/>
          <w:szCs w:val="26"/>
        </w:rPr>
        <w:t xml:space="preserve">составил </w:t>
      </w:r>
      <w:r w:rsidRPr="00161162">
        <w:rPr>
          <w:sz w:val="26"/>
          <w:szCs w:val="26"/>
        </w:rPr>
        <w:t>в 2016</w:t>
      </w:r>
      <w:r w:rsidR="00161162">
        <w:rPr>
          <w:sz w:val="26"/>
          <w:szCs w:val="26"/>
        </w:rPr>
        <w:t xml:space="preserve"> и 2017 году </w:t>
      </w:r>
      <w:r w:rsidR="000605F0">
        <w:rPr>
          <w:sz w:val="26"/>
          <w:szCs w:val="26"/>
        </w:rPr>
        <w:t xml:space="preserve">- </w:t>
      </w:r>
      <w:r w:rsidRPr="00161162">
        <w:rPr>
          <w:sz w:val="26"/>
          <w:szCs w:val="26"/>
        </w:rPr>
        <w:t>13</w:t>
      </w:r>
      <w:r w:rsidRPr="00161162">
        <w:rPr>
          <w:sz w:val="26"/>
          <w:szCs w:val="26"/>
        </w:rPr>
        <w:t>,</w:t>
      </w:r>
      <w:r w:rsidR="00161162">
        <w:rPr>
          <w:sz w:val="26"/>
          <w:szCs w:val="26"/>
        </w:rPr>
        <w:t xml:space="preserve">6 и </w:t>
      </w:r>
      <w:r w:rsidRPr="00161162">
        <w:rPr>
          <w:sz w:val="26"/>
          <w:szCs w:val="26"/>
        </w:rPr>
        <w:t>2</w:t>
      </w:r>
      <w:r w:rsidR="000605F0">
        <w:rPr>
          <w:sz w:val="26"/>
          <w:szCs w:val="26"/>
        </w:rPr>
        <w:t>2,5</w:t>
      </w:r>
      <w:r w:rsidRPr="00161162">
        <w:rPr>
          <w:sz w:val="26"/>
          <w:szCs w:val="26"/>
        </w:rPr>
        <w:t xml:space="preserve"> млн.</w:t>
      </w:r>
      <w:r w:rsidR="00161162">
        <w:rPr>
          <w:sz w:val="26"/>
          <w:szCs w:val="26"/>
        </w:rPr>
        <w:t xml:space="preserve"> </w:t>
      </w:r>
      <w:r w:rsidRPr="00161162">
        <w:rPr>
          <w:sz w:val="26"/>
          <w:szCs w:val="26"/>
        </w:rPr>
        <w:t>руб</w:t>
      </w:r>
      <w:r w:rsidR="00161162">
        <w:rPr>
          <w:sz w:val="26"/>
          <w:szCs w:val="26"/>
        </w:rPr>
        <w:t>лей</w:t>
      </w:r>
      <w:r w:rsidR="000605F0" w:rsidRPr="000605F0">
        <w:rPr>
          <w:sz w:val="26"/>
          <w:szCs w:val="26"/>
        </w:rPr>
        <w:t xml:space="preserve"> </w:t>
      </w:r>
      <w:r w:rsidR="000605F0">
        <w:rPr>
          <w:sz w:val="26"/>
          <w:szCs w:val="26"/>
        </w:rPr>
        <w:t>соответственно</w:t>
      </w:r>
      <w:r w:rsidR="00161162">
        <w:rPr>
          <w:sz w:val="26"/>
          <w:szCs w:val="26"/>
        </w:rPr>
        <w:t>.</w:t>
      </w:r>
    </w:p>
    <w:p w:rsidR="00030EF2" w:rsidRPr="00030EF2" w:rsidRDefault="00030EF2" w:rsidP="00D45B26">
      <w:pPr>
        <w:pStyle w:val="a9"/>
        <w:widowControl w:val="0"/>
        <w:numPr>
          <w:ilvl w:val="0"/>
          <w:numId w:val="22"/>
        </w:numPr>
        <w:spacing w:before="120" w:line="276" w:lineRule="auto"/>
        <w:rPr>
          <w:sz w:val="26"/>
          <w:szCs w:val="26"/>
        </w:rPr>
      </w:pPr>
      <w:r w:rsidRPr="00AC4106">
        <w:rPr>
          <w:sz w:val="26"/>
          <w:szCs w:val="26"/>
        </w:rPr>
        <w:t xml:space="preserve">К административной ответственности </w:t>
      </w:r>
      <w:r>
        <w:rPr>
          <w:sz w:val="26"/>
          <w:szCs w:val="26"/>
        </w:rPr>
        <w:t xml:space="preserve">по различным основаниям привлечено  29 лиц, из них </w:t>
      </w:r>
      <w:r w:rsidRPr="00AC4106">
        <w:rPr>
          <w:b/>
          <w:sz w:val="26"/>
          <w:szCs w:val="26"/>
        </w:rPr>
        <w:t>11 юридических и 6 должностных лиц</w:t>
      </w:r>
      <w:r w:rsidRPr="00AC4106">
        <w:rPr>
          <w:sz w:val="26"/>
          <w:szCs w:val="26"/>
        </w:rPr>
        <w:t xml:space="preserve"> привлечено</w:t>
      </w:r>
      <w:r>
        <w:rPr>
          <w:sz w:val="26"/>
          <w:szCs w:val="26"/>
        </w:rPr>
        <w:t xml:space="preserve"> </w:t>
      </w:r>
      <w:r w:rsidRPr="00AC4106">
        <w:rPr>
          <w:sz w:val="26"/>
          <w:szCs w:val="26"/>
        </w:rPr>
        <w:t xml:space="preserve">по статье </w:t>
      </w:r>
      <w:r w:rsidRPr="00030EF2">
        <w:rPr>
          <w:sz w:val="26"/>
          <w:szCs w:val="26"/>
        </w:rPr>
        <w:t xml:space="preserve">14.31 и 14.32 КоАП РФ. </w:t>
      </w:r>
    </w:p>
    <w:p w:rsidR="00030EF2" w:rsidRPr="00163A87" w:rsidRDefault="00030EF2" w:rsidP="00030EF2">
      <w:pPr>
        <w:pStyle w:val="afd"/>
        <w:widowControl w:val="0"/>
        <w:numPr>
          <w:ilvl w:val="0"/>
          <w:numId w:val="17"/>
        </w:numPr>
        <w:spacing w:before="120" w:after="0"/>
        <w:contextualSpacing w:val="0"/>
        <w:jc w:val="both"/>
        <w:rPr>
          <w:rFonts w:ascii="Times New Roman" w:hAnsi="Times New Roman"/>
          <w:sz w:val="26"/>
          <w:szCs w:val="26"/>
        </w:rPr>
      </w:pPr>
      <w:r w:rsidRPr="00AC4106">
        <w:rPr>
          <w:rFonts w:ascii="Times New Roman" w:hAnsi="Times New Roman"/>
          <w:sz w:val="26"/>
          <w:szCs w:val="26"/>
        </w:rPr>
        <w:t xml:space="preserve">Вынесено постановлений о наложении штрафов в общей сложности на сумму  </w:t>
      </w:r>
      <w:r>
        <w:rPr>
          <w:rFonts w:ascii="Times New Roman" w:hAnsi="Times New Roman"/>
          <w:sz w:val="26"/>
          <w:szCs w:val="26"/>
        </w:rPr>
        <w:t xml:space="preserve">  </w:t>
      </w:r>
      <w:r w:rsidRPr="00AC4106">
        <w:rPr>
          <w:rFonts w:ascii="Times New Roman" w:hAnsi="Times New Roman"/>
          <w:b/>
          <w:sz w:val="26"/>
          <w:szCs w:val="26"/>
        </w:rPr>
        <w:t>27</w:t>
      </w:r>
      <w:r>
        <w:rPr>
          <w:rFonts w:ascii="Times New Roman" w:hAnsi="Times New Roman"/>
          <w:b/>
          <w:sz w:val="26"/>
          <w:szCs w:val="26"/>
        </w:rPr>
        <w:t>6</w:t>
      </w:r>
      <w:r w:rsidRPr="00AC4106">
        <w:rPr>
          <w:rFonts w:ascii="Times New Roman" w:hAnsi="Times New Roman"/>
          <w:b/>
          <w:sz w:val="26"/>
          <w:szCs w:val="26"/>
        </w:rPr>
        <w:t>,9</w:t>
      </w:r>
      <w:r w:rsidRPr="00AC4106">
        <w:rPr>
          <w:rFonts w:ascii="Times New Roman" w:hAnsi="Times New Roman"/>
          <w:sz w:val="26"/>
          <w:szCs w:val="26"/>
        </w:rPr>
        <w:t xml:space="preserve"> </w:t>
      </w:r>
      <w:r w:rsidRPr="00AC4106">
        <w:rPr>
          <w:rFonts w:ascii="Times New Roman" w:hAnsi="Times New Roman"/>
          <w:b/>
          <w:sz w:val="26"/>
          <w:szCs w:val="26"/>
        </w:rPr>
        <w:t xml:space="preserve"> млн</w:t>
      </w:r>
      <w:r>
        <w:rPr>
          <w:rFonts w:ascii="Times New Roman" w:hAnsi="Times New Roman"/>
          <w:b/>
          <w:sz w:val="26"/>
          <w:szCs w:val="26"/>
        </w:rPr>
        <w:t>.</w:t>
      </w:r>
      <w:r w:rsidRPr="00AC4106">
        <w:rPr>
          <w:rFonts w:ascii="Times New Roman" w:hAnsi="Times New Roman"/>
          <w:b/>
          <w:sz w:val="26"/>
          <w:szCs w:val="26"/>
        </w:rPr>
        <w:t xml:space="preserve"> рублей.</w:t>
      </w:r>
      <w:r w:rsidRPr="00AC4106">
        <w:rPr>
          <w:rFonts w:ascii="Times New Roman" w:hAnsi="Times New Roman"/>
          <w:sz w:val="26"/>
          <w:szCs w:val="26"/>
        </w:rPr>
        <w:t xml:space="preserve"> </w:t>
      </w:r>
      <w:r w:rsidRPr="00163A87">
        <w:rPr>
          <w:rFonts w:ascii="Times New Roman" w:hAnsi="Times New Roman"/>
          <w:sz w:val="26"/>
          <w:szCs w:val="26"/>
        </w:rPr>
        <w:t>В бюджет Российской Федерации в результате применения штрафных санкции за нарушение антимонопольного законодательства</w:t>
      </w:r>
      <w:r>
        <w:rPr>
          <w:rFonts w:ascii="Times New Roman" w:hAnsi="Times New Roman"/>
          <w:sz w:val="26"/>
          <w:szCs w:val="26"/>
        </w:rPr>
        <w:t xml:space="preserve">, по результатам работы управления в первой половине года) </w:t>
      </w:r>
      <w:r w:rsidRPr="00163A87">
        <w:rPr>
          <w:rFonts w:ascii="Times New Roman" w:hAnsi="Times New Roman"/>
          <w:sz w:val="26"/>
          <w:szCs w:val="26"/>
        </w:rPr>
        <w:t>поступило</w:t>
      </w:r>
      <w:r w:rsidRPr="00163A87">
        <w:rPr>
          <w:rFonts w:ascii="Times New Roman" w:hAnsi="Times New Roman"/>
          <w:b/>
          <w:sz w:val="26"/>
          <w:szCs w:val="26"/>
        </w:rPr>
        <w:t xml:space="preserve"> </w:t>
      </w:r>
      <w:r w:rsidRPr="00AC4106">
        <w:rPr>
          <w:rFonts w:ascii="Times New Roman" w:hAnsi="Times New Roman"/>
          <w:b/>
          <w:sz w:val="26"/>
          <w:szCs w:val="26"/>
        </w:rPr>
        <w:t>902</w:t>
      </w:r>
      <w:r>
        <w:rPr>
          <w:rFonts w:ascii="Times New Roman" w:hAnsi="Times New Roman"/>
          <w:b/>
          <w:sz w:val="26"/>
          <w:szCs w:val="26"/>
        </w:rPr>
        <w:t xml:space="preserve">, тыс. </w:t>
      </w:r>
      <w:r w:rsidRPr="00163A87">
        <w:rPr>
          <w:rFonts w:ascii="Times New Roman" w:hAnsi="Times New Roman"/>
          <w:b/>
          <w:sz w:val="26"/>
          <w:szCs w:val="26"/>
        </w:rPr>
        <w:t>рублей.</w:t>
      </w:r>
    </w:p>
    <w:p w:rsidR="00030EF2" w:rsidRPr="00163A87" w:rsidRDefault="00030EF2" w:rsidP="00030EF2">
      <w:pPr>
        <w:pStyle w:val="a9"/>
        <w:widowControl w:val="0"/>
        <w:spacing w:before="120" w:line="276" w:lineRule="auto"/>
        <w:ind w:left="360" w:firstLine="0"/>
        <w:rPr>
          <w:sz w:val="26"/>
          <w:szCs w:val="26"/>
        </w:rPr>
      </w:pPr>
    </w:p>
    <w:sectPr w:rsidR="00030EF2" w:rsidRPr="00163A87" w:rsidSect="00344CBD">
      <w:headerReference w:type="even" r:id="rId9"/>
      <w:headerReference w:type="default" r:id="rId10"/>
      <w:footerReference w:type="even" r:id="rId11"/>
      <w:footerReference w:type="default" r:id="rId12"/>
      <w:pgSz w:w="11906" w:h="16838" w:code="9"/>
      <w:pgMar w:top="1134" w:right="851"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532" w:rsidRDefault="00F72532">
      <w:r>
        <w:separator/>
      </w:r>
    </w:p>
  </w:endnote>
  <w:endnote w:type="continuationSeparator" w:id="0">
    <w:p w:rsidR="00F72532" w:rsidRDefault="00F72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CF6" w:rsidRDefault="00B75CF6">
    <w:pPr>
      <w:pStyle w:val="af1"/>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11</w:t>
    </w:r>
    <w:r>
      <w:rPr>
        <w:rStyle w:val="a7"/>
      </w:rPr>
      <w:fldChar w:fldCharType="end"/>
    </w:r>
  </w:p>
  <w:p w:rsidR="00B75CF6" w:rsidRDefault="00B75CF6">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CF6" w:rsidRDefault="00B75CF6">
    <w:pPr>
      <w:pStyle w:val="af1"/>
      <w:framePr w:wrap="around" w:vAnchor="text" w:hAnchor="margin" w:xAlign="right" w:y="1"/>
      <w:rPr>
        <w:rStyle w:val="a7"/>
      </w:rPr>
    </w:pPr>
  </w:p>
  <w:p w:rsidR="00B75CF6" w:rsidRDefault="00B75CF6" w:rsidP="003E6FB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532" w:rsidRDefault="00F72532">
      <w:r>
        <w:separator/>
      </w:r>
    </w:p>
  </w:footnote>
  <w:footnote w:type="continuationSeparator" w:id="0">
    <w:p w:rsidR="00F72532" w:rsidRDefault="00F72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CF6" w:rsidRDefault="00B75CF6" w:rsidP="00B80E2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11</w:t>
    </w:r>
    <w:r>
      <w:rPr>
        <w:rStyle w:val="a7"/>
      </w:rPr>
      <w:fldChar w:fldCharType="end"/>
    </w:r>
  </w:p>
  <w:p w:rsidR="00B75CF6" w:rsidRDefault="00B75CF6">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CF6" w:rsidRPr="00A02FF1" w:rsidRDefault="00B75CF6" w:rsidP="00A02FF1">
    <w:pPr>
      <w:pStyle w:val="a5"/>
      <w:jc w:val="center"/>
      <w:rPr>
        <w:sz w:val="20"/>
      </w:rPr>
    </w:pPr>
    <w:r w:rsidRPr="00A02FF1">
      <w:rPr>
        <w:sz w:val="20"/>
      </w:rPr>
      <w:fldChar w:fldCharType="begin"/>
    </w:r>
    <w:r w:rsidRPr="00A02FF1">
      <w:rPr>
        <w:sz w:val="20"/>
      </w:rPr>
      <w:instrText>PAGE   \* MERGEFORMAT</w:instrText>
    </w:r>
    <w:r w:rsidRPr="00A02FF1">
      <w:rPr>
        <w:sz w:val="20"/>
      </w:rPr>
      <w:fldChar w:fldCharType="separate"/>
    </w:r>
    <w:r w:rsidR="00133A33">
      <w:rPr>
        <w:noProof/>
        <w:sz w:val="20"/>
      </w:rPr>
      <w:t>17</w:t>
    </w:r>
    <w:r w:rsidRPr="00A02FF1">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8508716"/>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B1D002A4"/>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07B4D64C"/>
    <w:lvl w:ilvl="0">
      <w:start w:val="1"/>
      <w:numFmt w:val="bullet"/>
      <w:pStyle w:val="3"/>
      <w:lvlText w:val=""/>
      <w:lvlJc w:val="left"/>
      <w:pPr>
        <w:tabs>
          <w:tab w:val="num" w:pos="360"/>
        </w:tabs>
        <w:ind w:left="360" w:hanging="360"/>
      </w:pPr>
      <w:rPr>
        <w:rFonts w:ascii="Symbol" w:hAnsi="Symbol" w:hint="default"/>
      </w:rPr>
    </w:lvl>
  </w:abstractNum>
  <w:abstractNum w:abstractNumId="3">
    <w:nsid w:val="002C5483"/>
    <w:multiLevelType w:val="hybridMultilevel"/>
    <w:tmpl w:val="BB066DC8"/>
    <w:lvl w:ilvl="0" w:tplc="E0329748">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3E3CDA"/>
    <w:multiLevelType w:val="hybridMultilevel"/>
    <w:tmpl w:val="54443708"/>
    <w:lvl w:ilvl="0" w:tplc="F634EFD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C1754CF"/>
    <w:multiLevelType w:val="hybridMultilevel"/>
    <w:tmpl w:val="9B38238E"/>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C3A0E19"/>
    <w:multiLevelType w:val="hybridMultilevel"/>
    <w:tmpl w:val="4DA8792C"/>
    <w:lvl w:ilvl="0" w:tplc="836E75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D463110"/>
    <w:multiLevelType w:val="hybridMultilevel"/>
    <w:tmpl w:val="2584953C"/>
    <w:lvl w:ilvl="0" w:tplc="36E45350">
      <w:start w:val="1"/>
      <w:numFmt w:val="decimal"/>
      <w:lvlText w:val="%1."/>
      <w:lvlJc w:val="left"/>
      <w:pPr>
        <w:ind w:left="360" w:hanging="360"/>
      </w:pPr>
      <w:rPr>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0865EF5"/>
    <w:multiLevelType w:val="hybridMultilevel"/>
    <w:tmpl w:val="71B6E0D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BC263A4"/>
    <w:multiLevelType w:val="hybridMultilevel"/>
    <w:tmpl w:val="C7B27EB6"/>
    <w:lvl w:ilvl="0" w:tplc="E0329748">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F8953C8"/>
    <w:multiLevelType w:val="hybridMultilevel"/>
    <w:tmpl w:val="2D822E14"/>
    <w:lvl w:ilvl="0" w:tplc="F634EFD0">
      <w:start w:val="1"/>
      <w:numFmt w:val="bullet"/>
      <w:lvlText w:val=""/>
      <w:lvlJc w:val="left"/>
      <w:pPr>
        <w:ind w:left="360" w:hanging="360"/>
      </w:pPr>
      <w:rPr>
        <w:rFonts w:ascii="Symbol" w:hAnsi="Symbol" w:hint="default"/>
      </w:rPr>
    </w:lvl>
    <w:lvl w:ilvl="1" w:tplc="04190003" w:tentative="1">
      <w:start w:val="1"/>
      <w:numFmt w:val="bullet"/>
      <w:lvlText w:val="o"/>
      <w:lvlJc w:val="left"/>
      <w:pPr>
        <w:ind w:left="1936" w:hanging="360"/>
      </w:pPr>
      <w:rPr>
        <w:rFonts w:ascii="Courier New" w:hAnsi="Courier New" w:cs="Courier New" w:hint="default"/>
      </w:rPr>
    </w:lvl>
    <w:lvl w:ilvl="2" w:tplc="04190005" w:tentative="1">
      <w:start w:val="1"/>
      <w:numFmt w:val="bullet"/>
      <w:lvlText w:val=""/>
      <w:lvlJc w:val="left"/>
      <w:pPr>
        <w:ind w:left="2656" w:hanging="360"/>
      </w:pPr>
      <w:rPr>
        <w:rFonts w:ascii="Wingdings" w:hAnsi="Wingdings" w:hint="default"/>
      </w:rPr>
    </w:lvl>
    <w:lvl w:ilvl="3" w:tplc="04190001" w:tentative="1">
      <w:start w:val="1"/>
      <w:numFmt w:val="bullet"/>
      <w:lvlText w:val=""/>
      <w:lvlJc w:val="left"/>
      <w:pPr>
        <w:ind w:left="3376" w:hanging="360"/>
      </w:pPr>
      <w:rPr>
        <w:rFonts w:ascii="Symbol" w:hAnsi="Symbol" w:hint="default"/>
      </w:rPr>
    </w:lvl>
    <w:lvl w:ilvl="4" w:tplc="04190003" w:tentative="1">
      <w:start w:val="1"/>
      <w:numFmt w:val="bullet"/>
      <w:lvlText w:val="o"/>
      <w:lvlJc w:val="left"/>
      <w:pPr>
        <w:ind w:left="4096" w:hanging="360"/>
      </w:pPr>
      <w:rPr>
        <w:rFonts w:ascii="Courier New" w:hAnsi="Courier New" w:cs="Courier New" w:hint="default"/>
      </w:rPr>
    </w:lvl>
    <w:lvl w:ilvl="5" w:tplc="04190005" w:tentative="1">
      <w:start w:val="1"/>
      <w:numFmt w:val="bullet"/>
      <w:lvlText w:val=""/>
      <w:lvlJc w:val="left"/>
      <w:pPr>
        <w:ind w:left="4816" w:hanging="360"/>
      </w:pPr>
      <w:rPr>
        <w:rFonts w:ascii="Wingdings" w:hAnsi="Wingdings" w:hint="default"/>
      </w:rPr>
    </w:lvl>
    <w:lvl w:ilvl="6" w:tplc="04190001" w:tentative="1">
      <w:start w:val="1"/>
      <w:numFmt w:val="bullet"/>
      <w:lvlText w:val=""/>
      <w:lvlJc w:val="left"/>
      <w:pPr>
        <w:ind w:left="5536" w:hanging="360"/>
      </w:pPr>
      <w:rPr>
        <w:rFonts w:ascii="Symbol" w:hAnsi="Symbol" w:hint="default"/>
      </w:rPr>
    </w:lvl>
    <w:lvl w:ilvl="7" w:tplc="04190003" w:tentative="1">
      <w:start w:val="1"/>
      <w:numFmt w:val="bullet"/>
      <w:lvlText w:val="o"/>
      <w:lvlJc w:val="left"/>
      <w:pPr>
        <w:ind w:left="6256" w:hanging="360"/>
      </w:pPr>
      <w:rPr>
        <w:rFonts w:ascii="Courier New" w:hAnsi="Courier New" w:cs="Courier New" w:hint="default"/>
      </w:rPr>
    </w:lvl>
    <w:lvl w:ilvl="8" w:tplc="04190005" w:tentative="1">
      <w:start w:val="1"/>
      <w:numFmt w:val="bullet"/>
      <w:lvlText w:val=""/>
      <w:lvlJc w:val="left"/>
      <w:pPr>
        <w:ind w:left="6976" w:hanging="360"/>
      </w:pPr>
      <w:rPr>
        <w:rFonts w:ascii="Wingdings" w:hAnsi="Wingdings" w:hint="default"/>
      </w:rPr>
    </w:lvl>
  </w:abstractNum>
  <w:abstractNum w:abstractNumId="11">
    <w:nsid w:val="327F0212"/>
    <w:multiLevelType w:val="hybridMultilevel"/>
    <w:tmpl w:val="521A08AA"/>
    <w:lvl w:ilvl="0" w:tplc="F634EFD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38DC20DC"/>
    <w:multiLevelType w:val="hybridMultilevel"/>
    <w:tmpl w:val="81BECD20"/>
    <w:lvl w:ilvl="0" w:tplc="F634EFD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608667F"/>
    <w:multiLevelType w:val="hybridMultilevel"/>
    <w:tmpl w:val="4252CCA6"/>
    <w:lvl w:ilvl="0" w:tplc="F634EFD0">
      <w:start w:val="1"/>
      <w:numFmt w:val="bullet"/>
      <w:lvlText w:val=""/>
      <w:lvlJc w:val="left"/>
      <w:pPr>
        <w:ind w:left="644" w:hanging="360"/>
      </w:pPr>
      <w:rPr>
        <w:rFonts w:ascii="Symbol" w:hAnsi="Symbol" w:hint="default"/>
      </w:rPr>
    </w:lvl>
    <w:lvl w:ilvl="1" w:tplc="04190003">
      <w:start w:val="1"/>
      <w:numFmt w:val="bullet"/>
      <w:lvlText w:val="o"/>
      <w:lvlJc w:val="left"/>
      <w:pPr>
        <w:ind w:left="568"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4777680F"/>
    <w:multiLevelType w:val="hybridMultilevel"/>
    <w:tmpl w:val="19763826"/>
    <w:lvl w:ilvl="0" w:tplc="0419000F">
      <w:start w:val="1"/>
      <w:numFmt w:val="decimal"/>
      <w:lvlText w:val="%1."/>
      <w:lvlJc w:val="left"/>
      <w:pPr>
        <w:ind w:left="36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BD0740"/>
    <w:multiLevelType w:val="hybridMultilevel"/>
    <w:tmpl w:val="2C66BF4E"/>
    <w:lvl w:ilvl="0" w:tplc="F634EFD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7970650"/>
    <w:multiLevelType w:val="hybridMultilevel"/>
    <w:tmpl w:val="9430789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F575F7D"/>
    <w:multiLevelType w:val="hybridMultilevel"/>
    <w:tmpl w:val="37AE8044"/>
    <w:lvl w:ilvl="0" w:tplc="E0329748">
      <w:start w:val="1"/>
      <w:numFmt w:val="bullet"/>
      <w:lvlText w:val=""/>
      <w:lvlJc w:val="left"/>
      <w:pPr>
        <w:ind w:left="814" w:hanging="360"/>
      </w:pPr>
      <w:rPr>
        <w:rFonts w:ascii="Wingdings" w:hAnsi="Wingdings" w:hint="default"/>
        <w:color w:val="auto"/>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
    <w:nsid w:val="5F894ECF"/>
    <w:multiLevelType w:val="multilevel"/>
    <w:tmpl w:val="BCB4F7C6"/>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660E7F3C"/>
    <w:multiLevelType w:val="hybridMultilevel"/>
    <w:tmpl w:val="A86EEE56"/>
    <w:lvl w:ilvl="0" w:tplc="F634EFD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2C53A57"/>
    <w:multiLevelType w:val="hybridMultilevel"/>
    <w:tmpl w:val="C05AE6A8"/>
    <w:lvl w:ilvl="0" w:tplc="E0329748">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0F39BC"/>
    <w:multiLevelType w:val="hybridMultilevel"/>
    <w:tmpl w:val="F1BE9436"/>
    <w:lvl w:ilvl="0" w:tplc="0419000F">
      <w:start w:val="1"/>
      <w:numFmt w:val="decimal"/>
      <w:lvlText w:val="%1."/>
      <w:lvlJc w:val="left"/>
      <w:pPr>
        <w:ind w:left="360"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22">
    <w:nsid w:val="779725D7"/>
    <w:multiLevelType w:val="hybridMultilevel"/>
    <w:tmpl w:val="B7FE0AC6"/>
    <w:lvl w:ilvl="0" w:tplc="F634EFD0">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
  </w:num>
  <w:num w:numId="5">
    <w:abstractNumId w:val="18"/>
  </w:num>
  <w:num w:numId="6">
    <w:abstractNumId w:val="6"/>
  </w:num>
  <w:num w:numId="7">
    <w:abstractNumId w:val="19"/>
  </w:num>
  <w:num w:numId="8">
    <w:abstractNumId w:val="22"/>
  </w:num>
  <w:num w:numId="9">
    <w:abstractNumId w:val="5"/>
  </w:num>
  <w:num w:numId="10">
    <w:abstractNumId w:val="7"/>
  </w:num>
  <w:num w:numId="11">
    <w:abstractNumId w:val="12"/>
  </w:num>
  <w:num w:numId="12">
    <w:abstractNumId w:val="13"/>
  </w:num>
  <w:num w:numId="13">
    <w:abstractNumId w:val="10"/>
  </w:num>
  <w:num w:numId="14">
    <w:abstractNumId w:val="21"/>
  </w:num>
  <w:num w:numId="15">
    <w:abstractNumId w:val="16"/>
  </w:num>
  <w:num w:numId="16">
    <w:abstractNumId w:val="9"/>
  </w:num>
  <w:num w:numId="17">
    <w:abstractNumId w:val="8"/>
  </w:num>
  <w:num w:numId="18">
    <w:abstractNumId w:val="17"/>
  </w:num>
  <w:num w:numId="19">
    <w:abstractNumId w:val="14"/>
  </w:num>
  <w:num w:numId="20">
    <w:abstractNumId w:val="11"/>
  </w:num>
  <w:num w:numId="21">
    <w:abstractNumId w:val="20"/>
  </w:num>
  <w:num w:numId="22">
    <w:abstractNumId w:val="3"/>
  </w:num>
  <w:num w:numId="23">
    <w:abstractNumId w:val="15"/>
  </w:num>
  <w:num w:numId="2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170"/>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952"/>
    <w:rsid w:val="00000D2B"/>
    <w:rsid w:val="00006DF4"/>
    <w:rsid w:val="00010F37"/>
    <w:rsid w:val="00013210"/>
    <w:rsid w:val="00016502"/>
    <w:rsid w:val="000230B9"/>
    <w:rsid w:val="00024BC3"/>
    <w:rsid w:val="00026DB5"/>
    <w:rsid w:val="00027FE2"/>
    <w:rsid w:val="00030EF2"/>
    <w:rsid w:val="00031E81"/>
    <w:rsid w:val="000328FB"/>
    <w:rsid w:val="000437EB"/>
    <w:rsid w:val="000478BD"/>
    <w:rsid w:val="00047BD9"/>
    <w:rsid w:val="00053697"/>
    <w:rsid w:val="00056900"/>
    <w:rsid w:val="00056A25"/>
    <w:rsid w:val="0006019C"/>
    <w:rsid w:val="000605F0"/>
    <w:rsid w:val="00061137"/>
    <w:rsid w:val="00062466"/>
    <w:rsid w:val="00062B2E"/>
    <w:rsid w:val="000656CC"/>
    <w:rsid w:val="00066634"/>
    <w:rsid w:val="00070486"/>
    <w:rsid w:val="00073023"/>
    <w:rsid w:val="00077069"/>
    <w:rsid w:val="00084F23"/>
    <w:rsid w:val="00091712"/>
    <w:rsid w:val="000958B1"/>
    <w:rsid w:val="000978AA"/>
    <w:rsid w:val="000A00A9"/>
    <w:rsid w:val="000A46E8"/>
    <w:rsid w:val="000B0E22"/>
    <w:rsid w:val="000B2037"/>
    <w:rsid w:val="000B5469"/>
    <w:rsid w:val="000B62AD"/>
    <w:rsid w:val="000C20D3"/>
    <w:rsid w:val="000C2529"/>
    <w:rsid w:val="000C3422"/>
    <w:rsid w:val="000C5485"/>
    <w:rsid w:val="000C64B3"/>
    <w:rsid w:val="000D09E3"/>
    <w:rsid w:val="000D10CE"/>
    <w:rsid w:val="000D3891"/>
    <w:rsid w:val="000D395F"/>
    <w:rsid w:val="000D6403"/>
    <w:rsid w:val="000D6B74"/>
    <w:rsid w:val="000D70C4"/>
    <w:rsid w:val="000E0A2A"/>
    <w:rsid w:val="000E30E4"/>
    <w:rsid w:val="000E39C4"/>
    <w:rsid w:val="000F01E9"/>
    <w:rsid w:val="000F57FC"/>
    <w:rsid w:val="000F7C62"/>
    <w:rsid w:val="00103848"/>
    <w:rsid w:val="001048CF"/>
    <w:rsid w:val="00107334"/>
    <w:rsid w:val="00114BBA"/>
    <w:rsid w:val="001150F5"/>
    <w:rsid w:val="0011537E"/>
    <w:rsid w:val="00116509"/>
    <w:rsid w:val="00117982"/>
    <w:rsid w:val="00121B84"/>
    <w:rsid w:val="00122A74"/>
    <w:rsid w:val="00127A11"/>
    <w:rsid w:val="00131B1C"/>
    <w:rsid w:val="001331E3"/>
    <w:rsid w:val="00133A33"/>
    <w:rsid w:val="0013676F"/>
    <w:rsid w:val="00140509"/>
    <w:rsid w:val="001469DC"/>
    <w:rsid w:val="001505D0"/>
    <w:rsid w:val="001512C9"/>
    <w:rsid w:val="001518DB"/>
    <w:rsid w:val="00151E8A"/>
    <w:rsid w:val="00156E46"/>
    <w:rsid w:val="00157CB4"/>
    <w:rsid w:val="00157CCD"/>
    <w:rsid w:val="00161162"/>
    <w:rsid w:val="00162579"/>
    <w:rsid w:val="00162DAD"/>
    <w:rsid w:val="00163661"/>
    <w:rsid w:val="0016389B"/>
    <w:rsid w:val="00163A87"/>
    <w:rsid w:val="00163C9F"/>
    <w:rsid w:val="00163DDE"/>
    <w:rsid w:val="00171D52"/>
    <w:rsid w:val="00177766"/>
    <w:rsid w:val="00180DB7"/>
    <w:rsid w:val="001815A8"/>
    <w:rsid w:val="00183E5D"/>
    <w:rsid w:val="0018426C"/>
    <w:rsid w:val="001960CA"/>
    <w:rsid w:val="001A044F"/>
    <w:rsid w:val="001A06D1"/>
    <w:rsid w:val="001A1232"/>
    <w:rsid w:val="001A278C"/>
    <w:rsid w:val="001A4A44"/>
    <w:rsid w:val="001A59C2"/>
    <w:rsid w:val="001A6757"/>
    <w:rsid w:val="001B10AA"/>
    <w:rsid w:val="001B1E50"/>
    <w:rsid w:val="001B31BD"/>
    <w:rsid w:val="001B5B36"/>
    <w:rsid w:val="001B5C79"/>
    <w:rsid w:val="001B724C"/>
    <w:rsid w:val="001B76F2"/>
    <w:rsid w:val="001C062E"/>
    <w:rsid w:val="001C131E"/>
    <w:rsid w:val="001C15E2"/>
    <w:rsid w:val="001C28FE"/>
    <w:rsid w:val="001D1BAA"/>
    <w:rsid w:val="001D230F"/>
    <w:rsid w:val="001D2E90"/>
    <w:rsid w:val="001D54F4"/>
    <w:rsid w:val="001D673D"/>
    <w:rsid w:val="001D6BC4"/>
    <w:rsid w:val="001D7013"/>
    <w:rsid w:val="001E29CB"/>
    <w:rsid w:val="001E3177"/>
    <w:rsid w:val="001E355D"/>
    <w:rsid w:val="001E5EF5"/>
    <w:rsid w:val="001F0318"/>
    <w:rsid w:val="001F06E9"/>
    <w:rsid w:val="001F2043"/>
    <w:rsid w:val="001F2999"/>
    <w:rsid w:val="001F51A7"/>
    <w:rsid w:val="001F7E08"/>
    <w:rsid w:val="002018B4"/>
    <w:rsid w:val="00201FA3"/>
    <w:rsid w:val="0020231D"/>
    <w:rsid w:val="00204A09"/>
    <w:rsid w:val="00205B68"/>
    <w:rsid w:val="00205BDF"/>
    <w:rsid w:val="00206A34"/>
    <w:rsid w:val="002102AB"/>
    <w:rsid w:val="002104D8"/>
    <w:rsid w:val="00210DD7"/>
    <w:rsid w:val="0021150F"/>
    <w:rsid w:val="002126BE"/>
    <w:rsid w:val="00212BC8"/>
    <w:rsid w:val="00224B65"/>
    <w:rsid w:val="002264D3"/>
    <w:rsid w:val="00226CBD"/>
    <w:rsid w:val="00227CF8"/>
    <w:rsid w:val="00227F26"/>
    <w:rsid w:val="00230532"/>
    <w:rsid w:val="002306F6"/>
    <w:rsid w:val="00232D34"/>
    <w:rsid w:val="0023466F"/>
    <w:rsid w:val="00235911"/>
    <w:rsid w:val="00236B29"/>
    <w:rsid w:val="00241FDA"/>
    <w:rsid w:val="00242F77"/>
    <w:rsid w:val="0025063B"/>
    <w:rsid w:val="00251F9C"/>
    <w:rsid w:val="00252853"/>
    <w:rsid w:val="002553A5"/>
    <w:rsid w:val="00255887"/>
    <w:rsid w:val="00256597"/>
    <w:rsid w:val="00257F51"/>
    <w:rsid w:val="002642C4"/>
    <w:rsid w:val="002645B9"/>
    <w:rsid w:val="0026628B"/>
    <w:rsid w:val="0026754A"/>
    <w:rsid w:val="00271C48"/>
    <w:rsid w:val="00273BF8"/>
    <w:rsid w:val="00275530"/>
    <w:rsid w:val="00277079"/>
    <w:rsid w:val="002800E6"/>
    <w:rsid w:val="00284343"/>
    <w:rsid w:val="00284774"/>
    <w:rsid w:val="00291795"/>
    <w:rsid w:val="00291EE5"/>
    <w:rsid w:val="00293BD5"/>
    <w:rsid w:val="0029476D"/>
    <w:rsid w:val="00296409"/>
    <w:rsid w:val="0029720F"/>
    <w:rsid w:val="002976E9"/>
    <w:rsid w:val="002A2FAF"/>
    <w:rsid w:val="002A4C47"/>
    <w:rsid w:val="002A736F"/>
    <w:rsid w:val="002B064E"/>
    <w:rsid w:val="002B2F20"/>
    <w:rsid w:val="002B78CB"/>
    <w:rsid w:val="002C2626"/>
    <w:rsid w:val="002C4FAC"/>
    <w:rsid w:val="002C661D"/>
    <w:rsid w:val="002C76EC"/>
    <w:rsid w:val="002D066C"/>
    <w:rsid w:val="002D18EF"/>
    <w:rsid w:val="002D30B7"/>
    <w:rsid w:val="002D41D3"/>
    <w:rsid w:val="002E0418"/>
    <w:rsid w:val="002E23DF"/>
    <w:rsid w:val="002E2AB1"/>
    <w:rsid w:val="002E3167"/>
    <w:rsid w:val="002E3705"/>
    <w:rsid w:val="002E556C"/>
    <w:rsid w:val="002E74FD"/>
    <w:rsid w:val="002F2320"/>
    <w:rsid w:val="002F73F3"/>
    <w:rsid w:val="002F7FCA"/>
    <w:rsid w:val="0030434D"/>
    <w:rsid w:val="00315B6B"/>
    <w:rsid w:val="00316E61"/>
    <w:rsid w:val="00317306"/>
    <w:rsid w:val="00323B55"/>
    <w:rsid w:val="00331017"/>
    <w:rsid w:val="00334DBC"/>
    <w:rsid w:val="00335072"/>
    <w:rsid w:val="00335379"/>
    <w:rsid w:val="00344CBD"/>
    <w:rsid w:val="0035182B"/>
    <w:rsid w:val="00354411"/>
    <w:rsid w:val="00355818"/>
    <w:rsid w:val="0036208E"/>
    <w:rsid w:val="00366AE5"/>
    <w:rsid w:val="00370164"/>
    <w:rsid w:val="00370D39"/>
    <w:rsid w:val="003711A4"/>
    <w:rsid w:val="0037144E"/>
    <w:rsid w:val="0037244F"/>
    <w:rsid w:val="00373680"/>
    <w:rsid w:val="00380356"/>
    <w:rsid w:val="0038075F"/>
    <w:rsid w:val="00380AC6"/>
    <w:rsid w:val="003811D4"/>
    <w:rsid w:val="003812AD"/>
    <w:rsid w:val="003813CA"/>
    <w:rsid w:val="00384A0D"/>
    <w:rsid w:val="003917CF"/>
    <w:rsid w:val="003959EA"/>
    <w:rsid w:val="00395EB0"/>
    <w:rsid w:val="003A2711"/>
    <w:rsid w:val="003A358E"/>
    <w:rsid w:val="003B7C84"/>
    <w:rsid w:val="003C0263"/>
    <w:rsid w:val="003C1C52"/>
    <w:rsid w:val="003C28FE"/>
    <w:rsid w:val="003C31FE"/>
    <w:rsid w:val="003C439B"/>
    <w:rsid w:val="003C7B29"/>
    <w:rsid w:val="003D0074"/>
    <w:rsid w:val="003D14E8"/>
    <w:rsid w:val="003D1DB2"/>
    <w:rsid w:val="003D5EF3"/>
    <w:rsid w:val="003D6C32"/>
    <w:rsid w:val="003E2389"/>
    <w:rsid w:val="003E2575"/>
    <w:rsid w:val="003E3357"/>
    <w:rsid w:val="003E383D"/>
    <w:rsid w:val="003E68B0"/>
    <w:rsid w:val="003E69C8"/>
    <w:rsid w:val="003E6FB1"/>
    <w:rsid w:val="003E76D0"/>
    <w:rsid w:val="003F2E38"/>
    <w:rsid w:val="003F4E8A"/>
    <w:rsid w:val="003F55DC"/>
    <w:rsid w:val="003F6476"/>
    <w:rsid w:val="003F7AAA"/>
    <w:rsid w:val="00400045"/>
    <w:rsid w:val="00401247"/>
    <w:rsid w:val="004021F8"/>
    <w:rsid w:val="00403EC8"/>
    <w:rsid w:val="004042ED"/>
    <w:rsid w:val="00405CC4"/>
    <w:rsid w:val="00410608"/>
    <w:rsid w:val="00412792"/>
    <w:rsid w:val="0041540E"/>
    <w:rsid w:val="00416CCE"/>
    <w:rsid w:val="00417436"/>
    <w:rsid w:val="00421D51"/>
    <w:rsid w:val="00422F09"/>
    <w:rsid w:val="00423C99"/>
    <w:rsid w:val="00424B50"/>
    <w:rsid w:val="004267FA"/>
    <w:rsid w:val="0042714B"/>
    <w:rsid w:val="00431872"/>
    <w:rsid w:val="00434A75"/>
    <w:rsid w:val="00436235"/>
    <w:rsid w:val="0043740C"/>
    <w:rsid w:val="004453B8"/>
    <w:rsid w:val="00450939"/>
    <w:rsid w:val="004521A0"/>
    <w:rsid w:val="00455059"/>
    <w:rsid w:val="0045775E"/>
    <w:rsid w:val="004633EA"/>
    <w:rsid w:val="00465893"/>
    <w:rsid w:val="00466FFA"/>
    <w:rsid w:val="004677ED"/>
    <w:rsid w:val="00473E0F"/>
    <w:rsid w:val="00474F86"/>
    <w:rsid w:val="00475F5C"/>
    <w:rsid w:val="00481C4F"/>
    <w:rsid w:val="00484356"/>
    <w:rsid w:val="00486E44"/>
    <w:rsid w:val="00487AD1"/>
    <w:rsid w:val="0049059F"/>
    <w:rsid w:val="004954D1"/>
    <w:rsid w:val="004957DA"/>
    <w:rsid w:val="00497106"/>
    <w:rsid w:val="004977C4"/>
    <w:rsid w:val="004A1109"/>
    <w:rsid w:val="004A28AB"/>
    <w:rsid w:val="004A2B6B"/>
    <w:rsid w:val="004A3E9E"/>
    <w:rsid w:val="004B0876"/>
    <w:rsid w:val="004B0F3D"/>
    <w:rsid w:val="004B3110"/>
    <w:rsid w:val="004B4659"/>
    <w:rsid w:val="004B54AF"/>
    <w:rsid w:val="004B5B19"/>
    <w:rsid w:val="004C20A6"/>
    <w:rsid w:val="004C21CF"/>
    <w:rsid w:val="004C38A7"/>
    <w:rsid w:val="004C55DC"/>
    <w:rsid w:val="004C66F1"/>
    <w:rsid w:val="004D29AC"/>
    <w:rsid w:val="004D50F9"/>
    <w:rsid w:val="004D612B"/>
    <w:rsid w:val="004D7495"/>
    <w:rsid w:val="004E1D29"/>
    <w:rsid w:val="004F0C21"/>
    <w:rsid w:val="004F104C"/>
    <w:rsid w:val="004F3DAE"/>
    <w:rsid w:val="004F4A4B"/>
    <w:rsid w:val="004F7E35"/>
    <w:rsid w:val="005021ED"/>
    <w:rsid w:val="00503562"/>
    <w:rsid w:val="00503D13"/>
    <w:rsid w:val="005045DC"/>
    <w:rsid w:val="00510B01"/>
    <w:rsid w:val="005117F7"/>
    <w:rsid w:val="00513540"/>
    <w:rsid w:val="00513592"/>
    <w:rsid w:val="00514FFC"/>
    <w:rsid w:val="00515393"/>
    <w:rsid w:val="0051543C"/>
    <w:rsid w:val="00517B04"/>
    <w:rsid w:val="00521E0C"/>
    <w:rsid w:val="00525AAC"/>
    <w:rsid w:val="00527305"/>
    <w:rsid w:val="00536E25"/>
    <w:rsid w:val="005416C7"/>
    <w:rsid w:val="00542641"/>
    <w:rsid w:val="00545533"/>
    <w:rsid w:val="00546777"/>
    <w:rsid w:val="0055004F"/>
    <w:rsid w:val="005502E3"/>
    <w:rsid w:val="005525C8"/>
    <w:rsid w:val="00562034"/>
    <w:rsid w:val="00563FE8"/>
    <w:rsid w:val="00564C1E"/>
    <w:rsid w:val="00565F4D"/>
    <w:rsid w:val="00566E09"/>
    <w:rsid w:val="0056724E"/>
    <w:rsid w:val="0056771F"/>
    <w:rsid w:val="00571297"/>
    <w:rsid w:val="00571EAF"/>
    <w:rsid w:val="0057369B"/>
    <w:rsid w:val="00576658"/>
    <w:rsid w:val="00576924"/>
    <w:rsid w:val="00577EBA"/>
    <w:rsid w:val="00587E30"/>
    <w:rsid w:val="00590A5F"/>
    <w:rsid w:val="005921BC"/>
    <w:rsid w:val="00593DAD"/>
    <w:rsid w:val="00596282"/>
    <w:rsid w:val="00597D62"/>
    <w:rsid w:val="005A3A6D"/>
    <w:rsid w:val="005A5568"/>
    <w:rsid w:val="005A7E6C"/>
    <w:rsid w:val="005B24FB"/>
    <w:rsid w:val="005B3652"/>
    <w:rsid w:val="005B3845"/>
    <w:rsid w:val="005B441F"/>
    <w:rsid w:val="005B4905"/>
    <w:rsid w:val="005B4D9C"/>
    <w:rsid w:val="005C0325"/>
    <w:rsid w:val="005C0902"/>
    <w:rsid w:val="005C0CC0"/>
    <w:rsid w:val="005C2A2F"/>
    <w:rsid w:val="005E147A"/>
    <w:rsid w:val="005E5152"/>
    <w:rsid w:val="005F123E"/>
    <w:rsid w:val="005F160A"/>
    <w:rsid w:val="005F6C0B"/>
    <w:rsid w:val="00603F1A"/>
    <w:rsid w:val="00604802"/>
    <w:rsid w:val="006117AB"/>
    <w:rsid w:val="0061287F"/>
    <w:rsid w:val="0061356A"/>
    <w:rsid w:val="0061553B"/>
    <w:rsid w:val="006166F6"/>
    <w:rsid w:val="006221A6"/>
    <w:rsid w:val="00622D39"/>
    <w:rsid w:val="00624D4A"/>
    <w:rsid w:val="00630A55"/>
    <w:rsid w:val="00631023"/>
    <w:rsid w:val="00634CE1"/>
    <w:rsid w:val="006408B4"/>
    <w:rsid w:val="0064437F"/>
    <w:rsid w:val="00645173"/>
    <w:rsid w:val="006473EE"/>
    <w:rsid w:val="00652062"/>
    <w:rsid w:val="00652BBB"/>
    <w:rsid w:val="00663B1F"/>
    <w:rsid w:val="00666B37"/>
    <w:rsid w:val="0066721B"/>
    <w:rsid w:val="006732BA"/>
    <w:rsid w:val="006805E9"/>
    <w:rsid w:val="006808A9"/>
    <w:rsid w:val="00684BBE"/>
    <w:rsid w:val="0068629E"/>
    <w:rsid w:val="00694A39"/>
    <w:rsid w:val="00695BE8"/>
    <w:rsid w:val="006A0EA1"/>
    <w:rsid w:val="006A4880"/>
    <w:rsid w:val="006A4EB8"/>
    <w:rsid w:val="006B3960"/>
    <w:rsid w:val="006B7041"/>
    <w:rsid w:val="006C65D5"/>
    <w:rsid w:val="006D09B7"/>
    <w:rsid w:val="006D4D6C"/>
    <w:rsid w:val="006D7E9D"/>
    <w:rsid w:val="006E43A2"/>
    <w:rsid w:val="006E7206"/>
    <w:rsid w:val="006F279F"/>
    <w:rsid w:val="006F6966"/>
    <w:rsid w:val="006F6CA2"/>
    <w:rsid w:val="0070123B"/>
    <w:rsid w:val="00701C07"/>
    <w:rsid w:val="00704353"/>
    <w:rsid w:val="007048A8"/>
    <w:rsid w:val="0071361A"/>
    <w:rsid w:val="0071376C"/>
    <w:rsid w:val="0071480C"/>
    <w:rsid w:val="00714EA5"/>
    <w:rsid w:val="00716DA6"/>
    <w:rsid w:val="00717AD6"/>
    <w:rsid w:val="00717E72"/>
    <w:rsid w:val="007210B7"/>
    <w:rsid w:val="007228D6"/>
    <w:rsid w:val="00723A79"/>
    <w:rsid w:val="00725010"/>
    <w:rsid w:val="007253C4"/>
    <w:rsid w:val="00727AE7"/>
    <w:rsid w:val="0073018F"/>
    <w:rsid w:val="0073039F"/>
    <w:rsid w:val="00730735"/>
    <w:rsid w:val="00731072"/>
    <w:rsid w:val="00732888"/>
    <w:rsid w:val="0073296E"/>
    <w:rsid w:val="00732DDC"/>
    <w:rsid w:val="007348A8"/>
    <w:rsid w:val="00737410"/>
    <w:rsid w:val="007378F2"/>
    <w:rsid w:val="007440BB"/>
    <w:rsid w:val="00747BB1"/>
    <w:rsid w:val="00754C4D"/>
    <w:rsid w:val="007567A9"/>
    <w:rsid w:val="007568F2"/>
    <w:rsid w:val="00756F8A"/>
    <w:rsid w:val="00757240"/>
    <w:rsid w:val="007649FB"/>
    <w:rsid w:val="007712F7"/>
    <w:rsid w:val="00774382"/>
    <w:rsid w:val="00777974"/>
    <w:rsid w:val="007819A9"/>
    <w:rsid w:val="007856AE"/>
    <w:rsid w:val="007A0AFD"/>
    <w:rsid w:val="007A2B5C"/>
    <w:rsid w:val="007B0C4F"/>
    <w:rsid w:val="007C34E5"/>
    <w:rsid w:val="007D1429"/>
    <w:rsid w:val="007D5481"/>
    <w:rsid w:val="007E0B55"/>
    <w:rsid w:val="007E1F79"/>
    <w:rsid w:val="007E5356"/>
    <w:rsid w:val="007E5E05"/>
    <w:rsid w:val="007F0622"/>
    <w:rsid w:val="007F1405"/>
    <w:rsid w:val="007F1B36"/>
    <w:rsid w:val="007F1DED"/>
    <w:rsid w:val="007F4351"/>
    <w:rsid w:val="007F458A"/>
    <w:rsid w:val="007F7DD7"/>
    <w:rsid w:val="00800985"/>
    <w:rsid w:val="00802CA3"/>
    <w:rsid w:val="00803C31"/>
    <w:rsid w:val="00805FED"/>
    <w:rsid w:val="008066DD"/>
    <w:rsid w:val="00807521"/>
    <w:rsid w:val="00811471"/>
    <w:rsid w:val="008117E9"/>
    <w:rsid w:val="008123A2"/>
    <w:rsid w:val="00813368"/>
    <w:rsid w:val="00813A25"/>
    <w:rsid w:val="00813F1F"/>
    <w:rsid w:val="00814601"/>
    <w:rsid w:val="008149C3"/>
    <w:rsid w:val="008216A4"/>
    <w:rsid w:val="008226CB"/>
    <w:rsid w:val="00824D26"/>
    <w:rsid w:val="00825C77"/>
    <w:rsid w:val="00826EDF"/>
    <w:rsid w:val="008277EF"/>
    <w:rsid w:val="00830E92"/>
    <w:rsid w:val="008312D0"/>
    <w:rsid w:val="00833073"/>
    <w:rsid w:val="00835978"/>
    <w:rsid w:val="008363A2"/>
    <w:rsid w:val="00836E10"/>
    <w:rsid w:val="00844418"/>
    <w:rsid w:val="0084461A"/>
    <w:rsid w:val="00846C1E"/>
    <w:rsid w:val="00851A94"/>
    <w:rsid w:val="00851D4F"/>
    <w:rsid w:val="00853DA1"/>
    <w:rsid w:val="00853F8D"/>
    <w:rsid w:val="008639EC"/>
    <w:rsid w:val="00866BFF"/>
    <w:rsid w:val="00866EC6"/>
    <w:rsid w:val="00870CB2"/>
    <w:rsid w:val="00871380"/>
    <w:rsid w:val="00872B35"/>
    <w:rsid w:val="00876082"/>
    <w:rsid w:val="00876940"/>
    <w:rsid w:val="008824F7"/>
    <w:rsid w:val="00882A6A"/>
    <w:rsid w:val="00883530"/>
    <w:rsid w:val="00885F7D"/>
    <w:rsid w:val="0089026F"/>
    <w:rsid w:val="00891458"/>
    <w:rsid w:val="0089155D"/>
    <w:rsid w:val="00895B0F"/>
    <w:rsid w:val="00895C9F"/>
    <w:rsid w:val="00895F20"/>
    <w:rsid w:val="008965C7"/>
    <w:rsid w:val="008968AD"/>
    <w:rsid w:val="008A2609"/>
    <w:rsid w:val="008A532D"/>
    <w:rsid w:val="008C068E"/>
    <w:rsid w:val="008C29DB"/>
    <w:rsid w:val="008C34A1"/>
    <w:rsid w:val="008C6021"/>
    <w:rsid w:val="008C7E2C"/>
    <w:rsid w:val="008D01C6"/>
    <w:rsid w:val="008D2A8D"/>
    <w:rsid w:val="008D60CA"/>
    <w:rsid w:val="008E06D3"/>
    <w:rsid w:val="008E0AC3"/>
    <w:rsid w:val="008E25B8"/>
    <w:rsid w:val="008E57D1"/>
    <w:rsid w:val="008E6A07"/>
    <w:rsid w:val="008E74AE"/>
    <w:rsid w:val="008F067E"/>
    <w:rsid w:val="008F10F3"/>
    <w:rsid w:val="008F14C5"/>
    <w:rsid w:val="008F2420"/>
    <w:rsid w:val="008F3C5B"/>
    <w:rsid w:val="008F3C69"/>
    <w:rsid w:val="008F5395"/>
    <w:rsid w:val="00900479"/>
    <w:rsid w:val="00902D50"/>
    <w:rsid w:val="00903B93"/>
    <w:rsid w:val="00904129"/>
    <w:rsid w:val="00904169"/>
    <w:rsid w:val="009041C0"/>
    <w:rsid w:val="0090663A"/>
    <w:rsid w:val="009067EE"/>
    <w:rsid w:val="009073E4"/>
    <w:rsid w:val="00910CBA"/>
    <w:rsid w:val="009126C9"/>
    <w:rsid w:val="009160AF"/>
    <w:rsid w:val="00924C52"/>
    <w:rsid w:val="00926CDC"/>
    <w:rsid w:val="00927355"/>
    <w:rsid w:val="0092756A"/>
    <w:rsid w:val="00927EC8"/>
    <w:rsid w:val="00930741"/>
    <w:rsid w:val="00930B7B"/>
    <w:rsid w:val="00932401"/>
    <w:rsid w:val="009368F5"/>
    <w:rsid w:val="00937C82"/>
    <w:rsid w:val="00937CF1"/>
    <w:rsid w:val="00940AF4"/>
    <w:rsid w:val="0094550B"/>
    <w:rsid w:val="00946909"/>
    <w:rsid w:val="0095115F"/>
    <w:rsid w:val="0095173F"/>
    <w:rsid w:val="00951CE1"/>
    <w:rsid w:val="00951E18"/>
    <w:rsid w:val="0095381C"/>
    <w:rsid w:val="00956F52"/>
    <w:rsid w:val="0096645C"/>
    <w:rsid w:val="009668C7"/>
    <w:rsid w:val="00970BD0"/>
    <w:rsid w:val="00974B9F"/>
    <w:rsid w:val="00976443"/>
    <w:rsid w:val="00976729"/>
    <w:rsid w:val="00977203"/>
    <w:rsid w:val="00981864"/>
    <w:rsid w:val="00986F3B"/>
    <w:rsid w:val="00987327"/>
    <w:rsid w:val="00993411"/>
    <w:rsid w:val="0099376D"/>
    <w:rsid w:val="009962AB"/>
    <w:rsid w:val="00997642"/>
    <w:rsid w:val="009A2412"/>
    <w:rsid w:val="009A3758"/>
    <w:rsid w:val="009A6010"/>
    <w:rsid w:val="009A7860"/>
    <w:rsid w:val="009B7C77"/>
    <w:rsid w:val="009B7D13"/>
    <w:rsid w:val="009C4DAF"/>
    <w:rsid w:val="009C56C1"/>
    <w:rsid w:val="009C7C54"/>
    <w:rsid w:val="009C7E32"/>
    <w:rsid w:val="009D05CD"/>
    <w:rsid w:val="009D149C"/>
    <w:rsid w:val="009D18A0"/>
    <w:rsid w:val="009D46EF"/>
    <w:rsid w:val="009E13C4"/>
    <w:rsid w:val="009E3BF7"/>
    <w:rsid w:val="009E4CBD"/>
    <w:rsid w:val="009E565C"/>
    <w:rsid w:val="009E5CB2"/>
    <w:rsid w:val="009E7DF3"/>
    <w:rsid w:val="009F0FFB"/>
    <w:rsid w:val="009F3659"/>
    <w:rsid w:val="009F4EB7"/>
    <w:rsid w:val="009F5ADD"/>
    <w:rsid w:val="00A02FF1"/>
    <w:rsid w:val="00A035CF"/>
    <w:rsid w:val="00A037FB"/>
    <w:rsid w:val="00A05796"/>
    <w:rsid w:val="00A07E6C"/>
    <w:rsid w:val="00A13949"/>
    <w:rsid w:val="00A22D8E"/>
    <w:rsid w:val="00A22E53"/>
    <w:rsid w:val="00A253EF"/>
    <w:rsid w:val="00A271F3"/>
    <w:rsid w:val="00A30FE1"/>
    <w:rsid w:val="00A41AA1"/>
    <w:rsid w:val="00A5428D"/>
    <w:rsid w:val="00A546FE"/>
    <w:rsid w:val="00A55997"/>
    <w:rsid w:val="00A6108B"/>
    <w:rsid w:val="00A62F71"/>
    <w:rsid w:val="00A64961"/>
    <w:rsid w:val="00A707DD"/>
    <w:rsid w:val="00A74066"/>
    <w:rsid w:val="00A75459"/>
    <w:rsid w:val="00A85AFD"/>
    <w:rsid w:val="00A90EC2"/>
    <w:rsid w:val="00A91378"/>
    <w:rsid w:val="00A93CF3"/>
    <w:rsid w:val="00A95C9A"/>
    <w:rsid w:val="00A9722A"/>
    <w:rsid w:val="00AA06D9"/>
    <w:rsid w:val="00AA0A21"/>
    <w:rsid w:val="00AA72B7"/>
    <w:rsid w:val="00AB4A73"/>
    <w:rsid w:val="00AB623F"/>
    <w:rsid w:val="00AB6684"/>
    <w:rsid w:val="00AC0586"/>
    <w:rsid w:val="00AC0AFD"/>
    <w:rsid w:val="00AC39D0"/>
    <w:rsid w:val="00AC39E8"/>
    <w:rsid w:val="00AC4051"/>
    <w:rsid w:val="00AC4106"/>
    <w:rsid w:val="00AC4E1A"/>
    <w:rsid w:val="00AC5AEC"/>
    <w:rsid w:val="00AC62AC"/>
    <w:rsid w:val="00AC6986"/>
    <w:rsid w:val="00AC6A43"/>
    <w:rsid w:val="00AC7363"/>
    <w:rsid w:val="00AD5685"/>
    <w:rsid w:val="00AD57E3"/>
    <w:rsid w:val="00AD7952"/>
    <w:rsid w:val="00AD79C0"/>
    <w:rsid w:val="00AE005F"/>
    <w:rsid w:val="00AE30AD"/>
    <w:rsid w:val="00AE610E"/>
    <w:rsid w:val="00AE74D3"/>
    <w:rsid w:val="00AE76C1"/>
    <w:rsid w:val="00AE7A18"/>
    <w:rsid w:val="00AF0655"/>
    <w:rsid w:val="00AF252F"/>
    <w:rsid w:val="00B0014A"/>
    <w:rsid w:val="00B00B54"/>
    <w:rsid w:val="00B0116B"/>
    <w:rsid w:val="00B02BCC"/>
    <w:rsid w:val="00B05750"/>
    <w:rsid w:val="00B079FB"/>
    <w:rsid w:val="00B11B11"/>
    <w:rsid w:val="00B1204F"/>
    <w:rsid w:val="00B16371"/>
    <w:rsid w:val="00B1678B"/>
    <w:rsid w:val="00B2324F"/>
    <w:rsid w:val="00B273E8"/>
    <w:rsid w:val="00B273EC"/>
    <w:rsid w:val="00B2747C"/>
    <w:rsid w:val="00B30AB7"/>
    <w:rsid w:val="00B36ACA"/>
    <w:rsid w:val="00B37596"/>
    <w:rsid w:val="00B41ECB"/>
    <w:rsid w:val="00B43D82"/>
    <w:rsid w:val="00B45756"/>
    <w:rsid w:val="00B465D3"/>
    <w:rsid w:val="00B519BB"/>
    <w:rsid w:val="00B52035"/>
    <w:rsid w:val="00B52844"/>
    <w:rsid w:val="00B55E79"/>
    <w:rsid w:val="00B63C90"/>
    <w:rsid w:val="00B6591B"/>
    <w:rsid w:val="00B65F95"/>
    <w:rsid w:val="00B67CBF"/>
    <w:rsid w:val="00B745EB"/>
    <w:rsid w:val="00B746B3"/>
    <w:rsid w:val="00B75CF6"/>
    <w:rsid w:val="00B80E2E"/>
    <w:rsid w:val="00B83220"/>
    <w:rsid w:val="00B83B80"/>
    <w:rsid w:val="00B84B64"/>
    <w:rsid w:val="00B86327"/>
    <w:rsid w:val="00B866A3"/>
    <w:rsid w:val="00B86896"/>
    <w:rsid w:val="00B8708A"/>
    <w:rsid w:val="00B92DE6"/>
    <w:rsid w:val="00B933D0"/>
    <w:rsid w:val="00B9375F"/>
    <w:rsid w:val="00BA2DD9"/>
    <w:rsid w:val="00BA3B08"/>
    <w:rsid w:val="00BA78A8"/>
    <w:rsid w:val="00BB0DAD"/>
    <w:rsid w:val="00BB2213"/>
    <w:rsid w:val="00BB472E"/>
    <w:rsid w:val="00BB47F9"/>
    <w:rsid w:val="00BB5889"/>
    <w:rsid w:val="00BB7223"/>
    <w:rsid w:val="00BB7477"/>
    <w:rsid w:val="00BC03D8"/>
    <w:rsid w:val="00BC09B6"/>
    <w:rsid w:val="00BC0EC6"/>
    <w:rsid w:val="00BC77D6"/>
    <w:rsid w:val="00BD2CC0"/>
    <w:rsid w:val="00BD2F84"/>
    <w:rsid w:val="00BD6355"/>
    <w:rsid w:val="00BD6BFF"/>
    <w:rsid w:val="00BE003A"/>
    <w:rsid w:val="00BE0C05"/>
    <w:rsid w:val="00BE170C"/>
    <w:rsid w:val="00BE21B5"/>
    <w:rsid w:val="00BE26D8"/>
    <w:rsid w:val="00BE2E4A"/>
    <w:rsid w:val="00BE3228"/>
    <w:rsid w:val="00BE3BB3"/>
    <w:rsid w:val="00BE594A"/>
    <w:rsid w:val="00BF0160"/>
    <w:rsid w:val="00BF0563"/>
    <w:rsid w:val="00BF0EC9"/>
    <w:rsid w:val="00BF4981"/>
    <w:rsid w:val="00BF6937"/>
    <w:rsid w:val="00C0067C"/>
    <w:rsid w:val="00C00CBF"/>
    <w:rsid w:val="00C0154E"/>
    <w:rsid w:val="00C01E85"/>
    <w:rsid w:val="00C03A2A"/>
    <w:rsid w:val="00C07D7F"/>
    <w:rsid w:val="00C07EC0"/>
    <w:rsid w:val="00C10CE6"/>
    <w:rsid w:val="00C1113B"/>
    <w:rsid w:val="00C15BC9"/>
    <w:rsid w:val="00C16DD1"/>
    <w:rsid w:val="00C25937"/>
    <w:rsid w:val="00C302F3"/>
    <w:rsid w:val="00C30826"/>
    <w:rsid w:val="00C30FBE"/>
    <w:rsid w:val="00C35540"/>
    <w:rsid w:val="00C36D73"/>
    <w:rsid w:val="00C37906"/>
    <w:rsid w:val="00C4153D"/>
    <w:rsid w:val="00C41DC1"/>
    <w:rsid w:val="00C43487"/>
    <w:rsid w:val="00C43DB2"/>
    <w:rsid w:val="00C43E00"/>
    <w:rsid w:val="00C52DE4"/>
    <w:rsid w:val="00C55FA0"/>
    <w:rsid w:val="00C56211"/>
    <w:rsid w:val="00C56AAE"/>
    <w:rsid w:val="00C607E1"/>
    <w:rsid w:val="00C64C1C"/>
    <w:rsid w:val="00C70FF3"/>
    <w:rsid w:val="00C71A69"/>
    <w:rsid w:val="00C73611"/>
    <w:rsid w:val="00C741F5"/>
    <w:rsid w:val="00C7551B"/>
    <w:rsid w:val="00C7649D"/>
    <w:rsid w:val="00C814AB"/>
    <w:rsid w:val="00C84798"/>
    <w:rsid w:val="00C873F4"/>
    <w:rsid w:val="00C90275"/>
    <w:rsid w:val="00C90C2F"/>
    <w:rsid w:val="00C90F6A"/>
    <w:rsid w:val="00C91F8E"/>
    <w:rsid w:val="00C97E8D"/>
    <w:rsid w:val="00C97F27"/>
    <w:rsid w:val="00CA3798"/>
    <w:rsid w:val="00CA5952"/>
    <w:rsid w:val="00CB0060"/>
    <w:rsid w:val="00CB20DD"/>
    <w:rsid w:val="00CB224B"/>
    <w:rsid w:val="00CB2FB4"/>
    <w:rsid w:val="00CB3B53"/>
    <w:rsid w:val="00CB58EA"/>
    <w:rsid w:val="00CC0754"/>
    <w:rsid w:val="00CC211E"/>
    <w:rsid w:val="00CC243C"/>
    <w:rsid w:val="00CC6F24"/>
    <w:rsid w:val="00CC7CFB"/>
    <w:rsid w:val="00CD0FF3"/>
    <w:rsid w:val="00CD1DAB"/>
    <w:rsid w:val="00CD2863"/>
    <w:rsid w:val="00CD3ED4"/>
    <w:rsid w:val="00CD4DDF"/>
    <w:rsid w:val="00CD693D"/>
    <w:rsid w:val="00CE13B1"/>
    <w:rsid w:val="00CE2575"/>
    <w:rsid w:val="00CE266A"/>
    <w:rsid w:val="00CE2859"/>
    <w:rsid w:val="00CE40C0"/>
    <w:rsid w:val="00CF00DD"/>
    <w:rsid w:val="00CF3F0E"/>
    <w:rsid w:val="00CF4CFD"/>
    <w:rsid w:val="00CF7EEA"/>
    <w:rsid w:val="00D1389F"/>
    <w:rsid w:val="00D222BA"/>
    <w:rsid w:val="00D22A5D"/>
    <w:rsid w:val="00D22B2B"/>
    <w:rsid w:val="00D2437F"/>
    <w:rsid w:val="00D245D1"/>
    <w:rsid w:val="00D24EB4"/>
    <w:rsid w:val="00D25B33"/>
    <w:rsid w:val="00D30968"/>
    <w:rsid w:val="00D411C4"/>
    <w:rsid w:val="00D433A8"/>
    <w:rsid w:val="00D45B26"/>
    <w:rsid w:val="00D4646C"/>
    <w:rsid w:val="00D53BE3"/>
    <w:rsid w:val="00D60A4A"/>
    <w:rsid w:val="00D631B8"/>
    <w:rsid w:val="00D6335E"/>
    <w:rsid w:val="00D6792C"/>
    <w:rsid w:val="00D71440"/>
    <w:rsid w:val="00D719FB"/>
    <w:rsid w:val="00D739B6"/>
    <w:rsid w:val="00D74F70"/>
    <w:rsid w:val="00D75A1A"/>
    <w:rsid w:val="00D85AC7"/>
    <w:rsid w:val="00D86187"/>
    <w:rsid w:val="00D8627E"/>
    <w:rsid w:val="00D864DB"/>
    <w:rsid w:val="00D8798B"/>
    <w:rsid w:val="00D9053F"/>
    <w:rsid w:val="00D9258A"/>
    <w:rsid w:val="00D939C8"/>
    <w:rsid w:val="00D943A9"/>
    <w:rsid w:val="00D95048"/>
    <w:rsid w:val="00D9587E"/>
    <w:rsid w:val="00D96A86"/>
    <w:rsid w:val="00D97F9E"/>
    <w:rsid w:val="00DA398D"/>
    <w:rsid w:val="00DA5B90"/>
    <w:rsid w:val="00DA5C81"/>
    <w:rsid w:val="00DA5E0A"/>
    <w:rsid w:val="00DB137D"/>
    <w:rsid w:val="00DB30AA"/>
    <w:rsid w:val="00DB42FD"/>
    <w:rsid w:val="00DB7E27"/>
    <w:rsid w:val="00DC0814"/>
    <w:rsid w:val="00DC3607"/>
    <w:rsid w:val="00DC5393"/>
    <w:rsid w:val="00DD05A1"/>
    <w:rsid w:val="00DD05CA"/>
    <w:rsid w:val="00DD1244"/>
    <w:rsid w:val="00DD19DC"/>
    <w:rsid w:val="00DD3F47"/>
    <w:rsid w:val="00DD679C"/>
    <w:rsid w:val="00DE1366"/>
    <w:rsid w:val="00DE1AE5"/>
    <w:rsid w:val="00DE4F7A"/>
    <w:rsid w:val="00DE5AD2"/>
    <w:rsid w:val="00DE5F3D"/>
    <w:rsid w:val="00DF0B97"/>
    <w:rsid w:val="00DF2AE7"/>
    <w:rsid w:val="00DF318D"/>
    <w:rsid w:val="00DF43BF"/>
    <w:rsid w:val="00DF7622"/>
    <w:rsid w:val="00E04F4D"/>
    <w:rsid w:val="00E10034"/>
    <w:rsid w:val="00E155CB"/>
    <w:rsid w:val="00E16EEF"/>
    <w:rsid w:val="00E17278"/>
    <w:rsid w:val="00E21F8C"/>
    <w:rsid w:val="00E30713"/>
    <w:rsid w:val="00E31864"/>
    <w:rsid w:val="00E3189C"/>
    <w:rsid w:val="00E32B0B"/>
    <w:rsid w:val="00E32DC5"/>
    <w:rsid w:val="00E343B1"/>
    <w:rsid w:val="00E36B3C"/>
    <w:rsid w:val="00E417E4"/>
    <w:rsid w:val="00E41D0B"/>
    <w:rsid w:val="00E42ABC"/>
    <w:rsid w:val="00E42C06"/>
    <w:rsid w:val="00E44A63"/>
    <w:rsid w:val="00E45552"/>
    <w:rsid w:val="00E465F1"/>
    <w:rsid w:val="00E50658"/>
    <w:rsid w:val="00E51412"/>
    <w:rsid w:val="00E54E99"/>
    <w:rsid w:val="00E55C2D"/>
    <w:rsid w:val="00E56226"/>
    <w:rsid w:val="00E56B01"/>
    <w:rsid w:val="00E56C08"/>
    <w:rsid w:val="00E60228"/>
    <w:rsid w:val="00E60B02"/>
    <w:rsid w:val="00E70E54"/>
    <w:rsid w:val="00E72B62"/>
    <w:rsid w:val="00E72BAB"/>
    <w:rsid w:val="00E72BEC"/>
    <w:rsid w:val="00E735CB"/>
    <w:rsid w:val="00E76317"/>
    <w:rsid w:val="00E80413"/>
    <w:rsid w:val="00E8175D"/>
    <w:rsid w:val="00E819D5"/>
    <w:rsid w:val="00E87379"/>
    <w:rsid w:val="00E93590"/>
    <w:rsid w:val="00EA185C"/>
    <w:rsid w:val="00EA57C6"/>
    <w:rsid w:val="00EB183B"/>
    <w:rsid w:val="00EB31C5"/>
    <w:rsid w:val="00EB3B7F"/>
    <w:rsid w:val="00EB41D3"/>
    <w:rsid w:val="00EB57ED"/>
    <w:rsid w:val="00EB73F5"/>
    <w:rsid w:val="00EC0E5B"/>
    <w:rsid w:val="00EC102A"/>
    <w:rsid w:val="00EC3F7D"/>
    <w:rsid w:val="00EC6167"/>
    <w:rsid w:val="00ED6988"/>
    <w:rsid w:val="00ED7CDE"/>
    <w:rsid w:val="00EF1E76"/>
    <w:rsid w:val="00EF29B4"/>
    <w:rsid w:val="00EF401F"/>
    <w:rsid w:val="00EF6E3D"/>
    <w:rsid w:val="00F03988"/>
    <w:rsid w:val="00F14060"/>
    <w:rsid w:val="00F15D98"/>
    <w:rsid w:val="00F17ACA"/>
    <w:rsid w:val="00F24F74"/>
    <w:rsid w:val="00F2531D"/>
    <w:rsid w:val="00F31198"/>
    <w:rsid w:val="00F31B63"/>
    <w:rsid w:val="00F32CD7"/>
    <w:rsid w:val="00F35DBA"/>
    <w:rsid w:val="00F36A12"/>
    <w:rsid w:val="00F36BC6"/>
    <w:rsid w:val="00F3719C"/>
    <w:rsid w:val="00F42316"/>
    <w:rsid w:val="00F51C6C"/>
    <w:rsid w:val="00F5311F"/>
    <w:rsid w:val="00F54E57"/>
    <w:rsid w:val="00F578BE"/>
    <w:rsid w:val="00F63B1F"/>
    <w:rsid w:val="00F63BD2"/>
    <w:rsid w:val="00F63CDB"/>
    <w:rsid w:val="00F64132"/>
    <w:rsid w:val="00F64B6C"/>
    <w:rsid w:val="00F65636"/>
    <w:rsid w:val="00F701EB"/>
    <w:rsid w:val="00F72532"/>
    <w:rsid w:val="00F72673"/>
    <w:rsid w:val="00F750B2"/>
    <w:rsid w:val="00F8269C"/>
    <w:rsid w:val="00F82798"/>
    <w:rsid w:val="00F84AC5"/>
    <w:rsid w:val="00F90D28"/>
    <w:rsid w:val="00F93356"/>
    <w:rsid w:val="00F96C58"/>
    <w:rsid w:val="00F97800"/>
    <w:rsid w:val="00F97E69"/>
    <w:rsid w:val="00FA1226"/>
    <w:rsid w:val="00FA1831"/>
    <w:rsid w:val="00FA236E"/>
    <w:rsid w:val="00FA4F24"/>
    <w:rsid w:val="00FA566F"/>
    <w:rsid w:val="00FB29EC"/>
    <w:rsid w:val="00FB4214"/>
    <w:rsid w:val="00FB5036"/>
    <w:rsid w:val="00FB5F77"/>
    <w:rsid w:val="00FB73AF"/>
    <w:rsid w:val="00FB77CE"/>
    <w:rsid w:val="00FB7E11"/>
    <w:rsid w:val="00FD1EED"/>
    <w:rsid w:val="00FD5397"/>
    <w:rsid w:val="00FD747B"/>
    <w:rsid w:val="00FE3035"/>
    <w:rsid w:val="00FE6917"/>
    <w:rsid w:val="00FE6F2A"/>
    <w:rsid w:val="00FE7FA6"/>
    <w:rsid w:val="00FF4258"/>
    <w:rsid w:val="00FF51FD"/>
    <w:rsid w:val="00FF7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5B26"/>
    <w:rPr>
      <w:sz w:val="28"/>
    </w:rPr>
  </w:style>
  <w:style w:type="paragraph" w:styleId="1">
    <w:name w:val="heading 1"/>
    <w:basedOn w:val="a"/>
    <w:next w:val="a"/>
    <w:link w:val="10"/>
    <w:uiPriority w:val="9"/>
    <w:qFormat/>
    <w:rsid w:val="00B05750"/>
    <w:pPr>
      <w:jc w:val="center"/>
      <w:outlineLvl w:val="0"/>
    </w:pPr>
    <w:rPr>
      <w:b/>
      <w:szCs w:val="28"/>
    </w:rPr>
  </w:style>
  <w:style w:type="paragraph" w:styleId="2">
    <w:name w:val="heading 2"/>
    <w:basedOn w:val="a"/>
    <w:next w:val="a"/>
    <w:link w:val="20"/>
    <w:uiPriority w:val="9"/>
    <w:qFormat/>
    <w:rsid w:val="00B05750"/>
    <w:pPr>
      <w:numPr>
        <w:ilvl w:val="1"/>
        <w:numId w:val="1"/>
      </w:numPr>
      <w:tabs>
        <w:tab w:val="clear" w:pos="360"/>
        <w:tab w:val="num" w:pos="643"/>
      </w:tabs>
      <w:ind w:left="720" w:hanging="720"/>
      <w:jc w:val="both"/>
      <w:outlineLvl w:val="1"/>
    </w:pPr>
    <w:rPr>
      <w:b/>
      <w:szCs w:val="28"/>
    </w:rPr>
  </w:style>
  <w:style w:type="paragraph" w:styleId="3">
    <w:name w:val="heading 3"/>
    <w:basedOn w:val="a"/>
    <w:next w:val="a"/>
    <w:link w:val="30"/>
    <w:uiPriority w:val="9"/>
    <w:qFormat/>
    <w:rsid w:val="00B05750"/>
    <w:pPr>
      <w:numPr>
        <w:ilvl w:val="2"/>
        <w:numId w:val="1"/>
      </w:numPr>
      <w:tabs>
        <w:tab w:val="clear" w:pos="360"/>
        <w:tab w:val="num" w:pos="643"/>
      </w:tabs>
      <w:ind w:left="643"/>
      <w:jc w:val="both"/>
      <w:outlineLvl w:val="2"/>
    </w:pPr>
    <w:rPr>
      <w:b/>
      <w:szCs w:val="28"/>
    </w:rPr>
  </w:style>
  <w:style w:type="paragraph" w:styleId="4">
    <w:name w:val="heading 4"/>
    <w:basedOn w:val="a"/>
    <w:next w:val="a"/>
    <w:link w:val="40"/>
    <w:uiPriority w:val="9"/>
    <w:qFormat/>
    <w:pPr>
      <w:keepNext/>
      <w:jc w:val="center"/>
      <w:outlineLvl w:val="3"/>
    </w:pPr>
    <w:rPr>
      <w:b/>
      <w:sz w:val="24"/>
    </w:rPr>
  </w:style>
  <w:style w:type="paragraph" w:styleId="5">
    <w:name w:val="heading 5"/>
    <w:basedOn w:val="a"/>
    <w:next w:val="a"/>
    <w:link w:val="50"/>
    <w:uiPriority w:val="9"/>
    <w:qFormat/>
    <w:pPr>
      <w:keepNext/>
      <w:ind w:firstLine="720"/>
      <w:jc w:val="both"/>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Pr>
      <w:rFonts w:cs="Times New Roman"/>
      <w:b/>
      <w:sz w:val="28"/>
      <w:szCs w:val="28"/>
    </w:rPr>
  </w:style>
  <w:style w:type="character" w:customStyle="1" w:styleId="30">
    <w:name w:val="Заголовок 3 Знак"/>
    <w:basedOn w:val="a0"/>
    <w:link w:val="3"/>
    <w:uiPriority w:val="9"/>
    <w:locked/>
    <w:rPr>
      <w:rFonts w:cs="Times New Roman"/>
      <w:b/>
      <w:sz w:val="28"/>
      <w:szCs w:val="28"/>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paragraph" w:styleId="a3">
    <w:name w:val="Body Text Indent"/>
    <w:basedOn w:val="a"/>
    <w:link w:val="a4"/>
    <w:uiPriority w:val="99"/>
    <w:pPr>
      <w:ind w:left="3912"/>
    </w:pPr>
  </w:style>
  <w:style w:type="character" w:customStyle="1" w:styleId="a4">
    <w:name w:val="Основной текст с отступом Знак"/>
    <w:basedOn w:val="a0"/>
    <w:link w:val="a3"/>
    <w:uiPriority w:val="99"/>
    <w:semiHidden/>
    <w:locked/>
    <w:rPr>
      <w:rFonts w:cs="Times New Roman"/>
      <w:sz w:val="28"/>
    </w:rPr>
  </w:style>
  <w:style w:type="paragraph" w:styleId="21">
    <w:name w:val="Body Text Indent 2"/>
    <w:basedOn w:val="a"/>
    <w:link w:val="22"/>
    <w:uiPriority w:val="99"/>
    <w:pPr>
      <w:ind w:firstLine="720"/>
      <w:jc w:val="both"/>
    </w:pPr>
  </w:style>
  <w:style w:type="character" w:customStyle="1" w:styleId="22">
    <w:name w:val="Основной текст с отступом 2 Знак"/>
    <w:basedOn w:val="a0"/>
    <w:link w:val="21"/>
    <w:uiPriority w:val="99"/>
    <w:semiHidden/>
    <w:locked/>
    <w:rPr>
      <w:rFonts w:cs="Times New Roman"/>
      <w:sz w:val="28"/>
    </w:rPr>
  </w:style>
  <w:style w:type="paragraph" w:styleId="a5">
    <w:name w:val="header"/>
    <w:basedOn w:val="a"/>
    <w:link w:val="a6"/>
    <w:uiPriority w:val="99"/>
    <w:pPr>
      <w:tabs>
        <w:tab w:val="center" w:pos="4153"/>
        <w:tab w:val="right" w:pos="8306"/>
      </w:tabs>
    </w:pPr>
  </w:style>
  <w:style w:type="character" w:customStyle="1" w:styleId="a6">
    <w:name w:val="Верхний колонтитул Знак"/>
    <w:basedOn w:val="a0"/>
    <w:link w:val="a5"/>
    <w:uiPriority w:val="99"/>
    <w:locked/>
    <w:rsid w:val="00A02FF1"/>
    <w:rPr>
      <w:rFonts w:cs="Times New Roman"/>
      <w:sz w:val="28"/>
    </w:rPr>
  </w:style>
  <w:style w:type="character" w:styleId="a7">
    <w:name w:val="page number"/>
    <w:basedOn w:val="a0"/>
    <w:uiPriority w:val="99"/>
    <w:rPr>
      <w:rFonts w:cs="Times New Roman"/>
    </w:rPr>
  </w:style>
  <w:style w:type="paragraph" w:styleId="23">
    <w:name w:val="List 2"/>
    <w:basedOn w:val="a"/>
    <w:uiPriority w:val="99"/>
    <w:pPr>
      <w:ind w:left="566" w:hanging="283"/>
    </w:pPr>
  </w:style>
  <w:style w:type="paragraph" w:styleId="a8">
    <w:name w:val="List Bullet"/>
    <w:basedOn w:val="a"/>
    <w:autoRedefine/>
    <w:uiPriority w:val="99"/>
    <w:pPr>
      <w:keepNext/>
      <w:jc w:val="both"/>
    </w:pPr>
    <w:rPr>
      <w:b/>
    </w:rPr>
  </w:style>
  <w:style w:type="paragraph" w:styleId="24">
    <w:name w:val="List Bullet 2"/>
    <w:basedOn w:val="a"/>
    <w:autoRedefine/>
    <w:uiPriority w:val="99"/>
    <w:pPr>
      <w:jc w:val="both"/>
    </w:pPr>
  </w:style>
  <w:style w:type="paragraph" w:styleId="31">
    <w:name w:val="List Bullet 3"/>
    <w:basedOn w:val="a"/>
    <w:autoRedefine/>
    <w:uiPriority w:val="99"/>
    <w:pPr>
      <w:ind w:firstLine="720"/>
      <w:jc w:val="both"/>
    </w:pPr>
  </w:style>
  <w:style w:type="paragraph" w:styleId="25">
    <w:name w:val="List Continue 2"/>
    <w:basedOn w:val="a"/>
    <w:uiPriority w:val="99"/>
    <w:pPr>
      <w:spacing w:after="120"/>
      <w:ind w:left="566"/>
    </w:pPr>
  </w:style>
  <w:style w:type="paragraph" w:styleId="32">
    <w:name w:val="List Continue 3"/>
    <w:basedOn w:val="a"/>
    <w:uiPriority w:val="99"/>
    <w:pPr>
      <w:spacing w:after="120"/>
      <w:ind w:left="849"/>
    </w:pPr>
  </w:style>
  <w:style w:type="paragraph" w:styleId="a9">
    <w:name w:val="Body Text"/>
    <w:basedOn w:val="a"/>
    <w:link w:val="aa"/>
    <w:uiPriority w:val="99"/>
    <w:rsid w:val="00B05750"/>
    <w:pPr>
      <w:ind w:firstLine="709"/>
      <w:jc w:val="both"/>
    </w:pPr>
    <w:rPr>
      <w:szCs w:val="28"/>
    </w:rPr>
  </w:style>
  <w:style w:type="character" w:customStyle="1" w:styleId="aa">
    <w:name w:val="Основной текст Знак"/>
    <w:basedOn w:val="a0"/>
    <w:link w:val="a9"/>
    <w:uiPriority w:val="99"/>
    <w:locked/>
    <w:rsid w:val="00B05750"/>
    <w:rPr>
      <w:rFonts w:cs="Times New Roman"/>
      <w:sz w:val="28"/>
    </w:rPr>
  </w:style>
  <w:style w:type="paragraph" w:styleId="33">
    <w:name w:val="Body Text Indent 3"/>
    <w:basedOn w:val="a"/>
    <w:link w:val="34"/>
    <w:uiPriority w:val="99"/>
    <w:pPr>
      <w:ind w:firstLine="720"/>
    </w:pPr>
  </w:style>
  <w:style w:type="character" w:customStyle="1" w:styleId="34">
    <w:name w:val="Основной текст с отступом 3 Знак"/>
    <w:basedOn w:val="a0"/>
    <w:link w:val="33"/>
    <w:uiPriority w:val="99"/>
    <w:semiHidden/>
    <w:locked/>
    <w:rPr>
      <w:rFonts w:cs="Times New Roman"/>
      <w:sz w:val="16"/>
      <w:szCs w:val="16"/>
    </w:rPr>
  </w:style>
  <w:style w:type="paragraph" w:styleId="26">
    <w:name w:val="Body Text 2"/>
    <w:basedOn w:val="a"/>
    <w:link w:val="27"/>
    <w:uiPriority w:val="99"/>
    <w:pPr>
      <w:jc w:val="center"/>
    </w:pPr>
  </w:style>
  <w:style w:type="character" w:customStyle="1" w:styleId="27">
    <w:name w:val="Основной текст 2 Знак"/>
    <w:basedOn w:val="a0"/>
    <w:link w:val="26"/>
    <w:uiPriority w:val="99"/>
    <w:semiHidden/>
    <w:locked/>
    <w:rPr>
      <w:rFonts w:cs="Times New Roman"/>
      <w:sz w:val="28"/>
    </w:rPr>
  </w:style>
  <w:style w:type="paragraph" w:styleId="ab">
    <w:name w:val="Title"/>
    <w:basedOn w:val="a"/>
    <w:link w:val="ac"/>
    <w:uiPriority w:val="10"/>
    <w:qFormat/>
    <w:pPr>
      <w:jc w:val="center"/>
    </w:pPr>
    <w:rPr>
      <w:lang w:val="en-US"/>
    </w:rPr>
  </w:style>
  <w:style w:type="character" w:customStyle="1" w:styleId="ac">
    <w:name w:val="Название Знак"/>
    <w:basedOn w:val="a0"/>
    <w:link w:val="ab"/>
    <w:uiPriority w:val="10"/>
    <w:locked/>
    <w:rPr>
      <w:rFonts w:asciiTheme="majorHAnsi" w:eastAsiaTheme="majorEastAsia" w:hAnsiTheme="majorHAnsi" w:cs="Times New Roman"/>
      <w:b/>
      <w:bCs/>
      <w:kern w:val="28"/>
      <w:sz w:val="32"/>
      <w:szCs w:val="32"/>
    </w:rPr>
  </w:style>
  <w:style w:type="paragraph" w:styleId="ad">
    <w:name w:val="footnote text"/>
    <w:basedOn w:val="a"/>
    <w:link w:val="ae"/>
    <w:uiPriority w:val="99"/>
    <w:semiHidden/>
    <w:rPr>
      <w:sz w:val="20"/>
    </w:rPr>
  </w:style>
  <w:style w:type="character" w:customStyle="1" w:styleId="ae">
    <w:name w:val="Текст сноски Знак"/>
    <w:basedOn w:val="a0"/>
    <w:link w:val="ad"/>
    <w:uiPriority w:val="99"/>
    <w:semiHidden/>
    <w:locked/>
    <w:rPr>
      <w:rFonts w:cs="Times New Roman"/>
    </w:rPr>
  </w:style>
  <w:style w:type="character" w:styleId="af">
    <w:name w:val="footnote reference"/>
    <w:basedOn w:val="a0"/>
    <w:uiPriority w:val="99"/>
    <w:semiHidden/>
    <w:rPr>
      <w:rFonts w:cs="Times New Roman"/>
      <w:vertAlign w:val="superscript"/>
    </w:rPr>
  </w:style>
  <w:style w:type="paragraph" w:styleId="af0">
    <w:name w:val="Block Text"/>
    <w:basedOn w:val="a"/>
    <w:uiPriority w:val="99"/>
    <w:pPr>
      <w:ind w:left="-45" w:right="-124"/>
      <w:jc w:val="center"/>
    </w:pPr>
    <w:rPr>
      <w:lang w:val="en-US"/>
    </w:rPr>
  </w:style>
  <w:style w:type="paragraph" w:styleId="af1">
    <w:name w:val="footer"/>
    <w:basedOn w:val="a"/>
    <w:link w:val="af2"/>
    <w:uiPriority w:val="99"/>
    <w:pPr>
      <w:tabs>
        <w:tab w:val="center" w:pos="4153"/>
        <w:tab w:val="right" w:pos="8306"/>
      </w:tabs>
    </w:pPr>
  </w:style>
  <w:style w:type="character" w:customStyle="1" w:styleId="af2">
    <w:name w:val="Нижний колонтитул Знак"/>
    <w:basedOn w:val="a0"/>
    <w:link w:val="af1"/>
    <w:uiPriority w:val="99"/>
    <w:semiHidden/>
    <w:locked/>
    <w:rPr>
      <w:rFonts w:cs="Times New Roman"/>
      <w:sz w:val="28"/>
    </w:rPr>
  </w:style>
  <w:style w:type="paragraph" w:styleId="35">
    <w:name w:val="Body Text 3"/>
    <w:basedOn w:val="a"/>
    <w:link w:val="36"/>
    <w:uiPriority w:val="99"/>
    <w:pPr>
      <w:jc w:val="center"/>
    </w:pPr>
    <w:rPr>
      <w:b/>
    </w:rPr>
  </w:style>
  <w:style w:type="character" w:customStyle="1" w:styleId="36">
    <w:name w:val="Основной текст 3 Знак"/>
    <w:basedOn w:val="a0"/>
    <w:link w:val="35"/>
    <w:uiPriority w:val="99"/>
    <w:semiHidden/>
    <w:locked/>
    <w:rPr>
      <w:rFonts w:cs="Times New Roman"/>
      <w:sz w:val="16"/>
      <w:szCs w:val="16"/>
    </w:rPr>
  </w:style>
  <w:style w:type="paragraph" w:styleId="af3">
    <w:name w:val="List"/>
    <w:basedOn w:val="a"/>
    <w:uiPriority w:val="99"/>
    <w:pPr>
      <w:ind w:left="283" w:hanging="283"/>
    </w:pPr>
  </w:style>
  <w:style w:type="paragraph" w:styleId="37">
    <w:name w:val="List 3"/>
    <w:basedOn w:val="a"/>
    <w:uiPriority w:val="99"/>
    <w:pPr>
      <w:ind w:left="849" w:hanging="283"/>
    </w:pPr>
  </w:style>
  <w:style w:type="paragraph" w:styleId="41">
    <w:name w:val="List 4"/>
    <w:basedOn w:val="a"/>
    <w:uiPriority w:val="99"/>
    <w:pPr>
      <w:ind w:left="1132" w:hanging="283"/>
    </w:pPr>
  </w:style>
  <w:style w:type="paragraph" w:styleId="af4">
    <w:name w:val="Date"/>
    <w:basedOn w:val="a"/>
    <w:next w:val="a"/>
    <w:link w:val="af5"/>
    <w:uiPriority w:val="99"/>
  </w:style>
  <w:style w:type="character" w:customStyle="1" w:styleId="af5">
    <w:name w:val="Дата Знак"/>
    <w:basedOn w:val="a0"/>
    <w:link w:val="af4"/>
    <w:uiPriority w:val="99"/>
    <w:semiHidden/>
    <w:locked/>
    <w:rPr>
      <w:rFonts w:cs="Times New Roman"/>
      <w:sz w:val="28"/>
    </w:rPr>
  </w:style>
  <w:style w:type="paragraph" w:styleId="af6">
    <w:name w:val="Subtitle"/>
    <w:basedOn w:val="a"/>
    <w:link w:val="af7"/>
    <w:uiPriority w:val="11"/>
    <w:qFormat/>
    <w:pPr>
      <w:spacing w:after="60"/>
      <w:jc w:val="center"/>
      <w:outlineLvl w:val="1"/>
    </w:pPr>
    <w:rPr>
      <w:rFonts w:ascii="Arial" w:hAnsi="Arial"/>
      <w:sz w:val="24"/>
    </w:rPr>
  </w:style>
  <w:style w:type="character" w:customStyle="1" w:styleId="af7">
    <w:name w:val="Подзаголовок Знак"/>
    <w:basedOn w:val="a0"/>
    <w:link w:val="af6"/>
    <w:uiPriority w:val="11"/>
    <w:locked/>
    <w:rPr>
      <w:rFonts w:asciiTheme="majorHAnsi" w:eastAsiaTheme="majorEastAsia" w:hAnsiTheme="majorHAnsi" w:cs="Times New Roman"/>
      <w:sz w:val="24"/>
      <w:szCs w:val="24"/>
    </w:rPr>
  </w:style>
  <w:style w:type="character" w:styleId="af8">
    <w:name w:val="Hyperlink"/>
    <w:basedOn w:val="a0"/>
    <w:uiPriority w:val="99"/>
    <w:rPr>
      <w:rFonts w:cs="Times New Roman"/>
      <w:color w:val="0000FF"/>
      <w:u w:val="single"/>
    </w:rPr>
  </w:style>
  <w:style w:type="character" w:styleId="af9">
    <w:name w:val="FollowedHyperlink"/>
    <w:basedOn w:val="a0"/>
    <w:uiPriority w:val="99"/>
    <w:rPr>
      <w:rFonts w:cs="Times New Roman"/>
      <w:color w:val="800080"/>
      <w:u w:val="single"/>
    </w:rPr>
  </w:style>
  <w:style w:type="table" w:styleId="afa">
    <w:name w:val="Table Grid"/>
    <w:basedOn w:val="a1"/>
    <w:uiPriority w:val="59"/>
    <w:rsid w:val="00727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
    <w:link w:val="afc"/>
    <w:uiPriority w:val="99"/>
    <w:semiHidden/>
    <w:rsid w:val="00565F4D"/>
    <w:rPr>
      <w:rFonts w:ascii="Tahoma" w:hAnsi="Tahoma" w:cs="Tahoma"/>
      <w:sz w:val="16"/>
      <w:szCs w:val="16"/>
    </w:rPr>
  </w:style>
  <w:style w:type="character" w:customStyle="1" w:styleId="afc">
    <w:name w:val="Текст выноски Знак"/>
    <w:basedOn w:val="a0"/>
    <w:link w:val="afb"/>
    <w:uiPriority w:val="99"/>
    <w:semiHidden/>
    <w:locked/>
    <w:rPr>
      <w:rFonts w:ascii="Tahoma" w:hAnsi="Tahoma" w:cs="Tahoma"/>
      <w:sz w:val="16"/>
      <w:szCs w:val="16"/>
    </w:rPr>
  </w:style>
  <w:style w:type="paragraph" w:customStyle="1" w:styleId="310">
    <w:name w:val="Основной текст 31"/>
    <w:basedOn w:val="a"/>
    <w:rsid w:val="00D24EB4"/>
    <w:pPr>
      <w:suppressAutoHyphens/>
    </w:pPr>
    <w:rPr>
      <w:b/>
      <w:bCs/>
      <w:sz w:val="22"/>
      <w:szCs w:val="22"/>
      <w:lang w:eastAsia="ar-SA"/>
    </w:rPr>
  </w:style>
  <w:style w:type="paragraph" w:customStyle="1" w:styleId="Textbody">
    <w:name w:val="Text body"/>
    <w:basedOn w:val="a"/>
    <w:rsid w:val="009A2412"/>
    <w:pPr>
      <w:widowControl w:val="0"/>
      <w:suppressAutoHyphens/>
      <w:autoSpaceDN w:val="0"/>
      <w:spacing w:after="120"/>
      <w:textAlignment w:val="baseline"/>
    </w:pPr>
    <w:rPr>
      <w:rFonts w:eastAsia="SimSun" w:cs="Mangal"/>
      <w:kern w:val="3"/>
      <w:sz w:val="24"/>
      <w:szCs w:val="24"/>
      <w:lang w:eastAsia="zh-CN" w:bidi="hi-IN"/>
    </w:rPr>
  </w:style>
  <w:style w:type="paragraph" w:styleId="afd">
    <w:name w:val="List Paragraph"/>
    <w:basedOn w:val="a"/>
    <w:uiPriority w:val="34"/>
    <w:qFormat/>
    <w:rsid w:val="002F73F3"/>
    <w:pPr>
      <w:spacing w:after="200" w:line="276" w:lineRule="auto"/>
      <w:ind w:left="720"/>
      <w:contextualSpacing/>
    </w:pPr>
    <w:rPr>
      <w:rFonts w:ascii="Calibri" w:hAnsi="Calibri"/>
      <w:sz w:val="22"/>
      <w:szCs w:val="22"/>
    </w:rPr>
  </w:style>
  <w:style w:type="paragraph" w:customStyle="1" w:styleId="11">
    <w:name w:val="Знак1"/>
    <w:basedOn w:val="a"/>
    <w:rsid w:val="00E04F4D"/>
    <w:pPr>
      <w:spacing w:after="160" w:line="240" w:lineRule="exact"/>
    </w:pPr>
    <w:rPr>
      <w:rFonts w:ascii="Verdana" w:hAnsi="Verdana" w:cs="Verdana"/>
      <w:sz w:val="20"/>
      <w:lang w:val="en-US" w:eastAsia="en-US"/>
    </w:rPr>
  </w:style>
  <w:style w:type="paragraph" w:customStyle="1" w:styleId="ConsNonformat">
    <w:name w:val="ConsNonformat"/>
    <w:rsid w:val="00E04F4D"/>
    <w:pPr>
      <w:widowControl w:val="0"/>
      <w:autoSpaceDE w:val="0"/>
      <w:autoSpaceDN w:val="0"/>
      <w:adjustRightInd w:val="0"/>
      <w:ind w:right="19772"/>
    </w:pPr>
    <w:rPr>
      <w:rFonts w:ascii="Courier New" w:hAnsi="Courier New" w:cs="Courier New"/>
    </w:rPr>
  </w:style>
  <w:style w:type="paragraph" w:customStyle="1" w:styleId="ConsNormal">
    <w:name w:val="ConsNormal"/>
    <w:rsid w:val="00151E8A"/>
    <w:pPr>
      <w:widowControl w:val="0"/>
      <w:autoSpaceDE w:val="0"/>
      <w:autoSpaceDN w:val="0"/>
      <w:adjustRightInd w:val="0"/>
      <w:ind w:right="19772" w:firstLine="720"/>
    </w:pPr>
    <w:rPr>
      <w:rFonts w:ascii="Arial" w:hAnsi="Arial" w:cs="Arial"/>
    </w:rPr>
  </w:style>
  <w:style w:type="character" w:customStyle="1" w:styleId="ConsPlusNormal">
    <w:name w:val="ConsPlusNormal Знак"/>
    <w:link w:val="ConsPlusNormal0"/>
    <w:locked/>
    <w:rsid w:val="00DC0814"/>
    <w:rPr>
      <w:rFonts w:ascii="Arial" w:hAnsi="Arial" w:cs="Arial"/>
    </w:rPr>
  </w:style>
  <w:style w:type="paragraph" w:customStyle="1" w:styleId="ConsPlusNormal0">
    <w:name w:val="ConsPlusNormal"/>
    <w:link w:val="ConsPlusNormal"/>
    <w:rsid w:val="00DC0814"/>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5B26"/>
    <w:rPr>
      <w:sz w:val="28"/>
    </w:rPr>
  </w:style>
  <w:style w:type="paragraph" w:styleId="1">
    <w:name w:val="heading 1"/>
    <w:basedOn w:val="a"/>
    <w:next w:val="a"/>
    <w:link w:val="10"/>
    <w:uiPriority w:val="9"/>
    <w:qFormat/>
    <w:rsid w:val="00B05750"/>
    <w:pPr>
      <w:jc w:val="center"/>
      <w:outlineLvl w:val="0"/>
    </w:pPr>
    <w:rPr>
      <w:b/>
      <w:szCs w:val="28"/>
    </w:rPr>
  </w:style>
  <w:style w:type="paragraph" w:styleId="2">
    <w:name w:val="heading 2"/>
    <w:basedOn w:val="a"/>
    <w:next w:val="a"/>
    <w:link w:val="20"/>
    <w:uiPriority w:val="9"/>
    <w:qFormat/>
    <w:rsid w:val="00B05750"/>
    <w:pPr>
      <w:numPr>
        <w:ilvl w:val="1"/>
        <w:numId w:val="1"/>
      </w:numPr>
      <w:tabs>
        <w:tab w:val="clear" w:pos="360"/>
        <w:tab w:val="num" w:pos="643"/>
      </w:tabs>
      <w:ind w:left="720" w:hanging="720"/>
      <w:jc w:val="both"/>
      <w:outlineLvl w:val="1"/>
    </w:pPr>
    <w:rPr>
      <w:b/>
      <w:szCs w:val="28"/>
    </w:rPr>
  </w:style>
  <w:style w:type="paragraph" w:styleId="3">
    <w:name w:val="heading 3"/>
    <w:basedOn w:val="a"/>
    <w:next w:val="a"/>
    <w:link w:val="30"/>
    <w:uiPriority w:val="9"/>
    <w:qFormat/>
    <w:rsid w:val="00B05750"/>
    <w:pPr>
      <w:numPr>
        <w:ilvl w:val="2"/>
        <w:numId w:val="1"/>
      </w:numPr>
      <w:tabs>
        <w:tab w:val="clear" w:pos="360"/>
        <w:tab w:val="num" w:pos="643"/>
      </w:tabs>
      <w:ind w:left="643"/>
      <w:jc w:val="both"/>
      <w:outlineLvl w:val="2"/>
    </w:pPr>
    <w:rPr>
      <w:b/>
      <w:szCs w:val="28"/>
    </w:rPr>
  </w:style>
  <w:style w:type="paragraph" w:styleId="4">
    <w:name w:val="heading 4"/>
    <w:basedOn w:val="a"/>
    <w:next w:val="a"/>
    <w:link w:val="40"/>
    <w:uiPriority w:val="9"/>
    <w:qFormat/>
    <w:pPr>
      <w:keepNext/>
      <w:jc w:val="center"/>
      <w:outlineLvl w:val="3"/>
    </w:pPr>
    <w:rPr>
      <w:b/>
      <w:sz w:val="24"/>
    </w:rPr>
  </w:style>
  <w:style w:type="paragraph" w:styleId="5">
    <w:name w:val="heading 5"/>
    <w:basedOn w:val="a"/>
    <w:next w:val="a"/>
    <w:link w:val="50"/>
    <w:uiPriority w:val="9"/>
    <w:qFormat/>
    <w:pPr>
      <w:keepNext/>
      <w:ind w:firstLine="720"/>
      <w:jc w:val="both"/>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Pr>
      <w:rFonts w:cs="Times New Roman"/>
      <w:b/>
      <w:sz w:val="28"/>
      <w:szCs w:val="28"/>
    </w:rPr>
  </w:style>
  <w:style w:type="character" w:customStyle="1" w:styleId="30">
    <w:name w:val="Заголовок 3 Знак"/>
    <w:basedOn w:val="a0"/>
    <w:link w:val="3"/>
    <w:uiPriority w:val="9"/>
    <w:locked/>
    <w:rPr>
      <w:rFonts w:cs="Times New Roman"/>
      <w:b/>
      <w:sz w:val="28"/>
      <w:szCs w:val="28"/>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paragraph" w:styleId="a3">
    <w:name w:val="Body Text Indent"/>
    <w:basedOn w:val="a"/>
    <w:link w:val="a4"/>
    <w:uiPriority w:val="99"/>
    <w:pPr>
      <w:ind w:left="3912"/>
    </w:pPr>
  </w:style>
  <w:style w:type="character" w:customStyle="1" w:styleId="a4">
    <w:name w:val="Основной текст с отступом Знак"/>
    <w:basedOn w:val="a0"/>
    <w:link w:val="a3"/>
    <w:uiPriority w:val="99"/>
    <w:semiHidden/>
    <w:locked/>
    <w:rPr>
      <w:rFonts w:cs="Times New Roman"/>
      <w:sz w:val="28"/>
    </w:rPr>
  </w:style>
  <w:style w:type="paragraph" w:styleId="21">
    <w:name w:val="Body Text Indent 2"/>
    <w:basedOn w:val="a"/>
    <w:link w:val="22"/>
    <w:uiPriority w:val="99"/>
    <w:pPr>
      <w:ind w:firstLine="720"/>
      <w:jc w:val="both"/>
    </w:pPr>
  </w:style>
  <w:style w:type="character" w:customStyle="1" w:styleId="22">
    <w:name w:val="Основной текст с отступом 2 Знак"/>
    <w:basedOn w:val="a0"/>
    <w:link w:val="21"/>
    <w:uiPriority w:val="99"/>
    <w:semiHidden/>
    <w:locked/>
    <w:rPr>
      <w:rFonts w:cs="Times New Roman"/>
      <w:sz w:val="28"/>
    </w:rPr>
  </w:style>
  <w:style w:type="paragraph" w:styleId="a5">
    <w:name w:val="header"/>
    <w:basedOn w:val="a"/>
    <w:link w:val="a6"/>
    <w:uiPriority w:val="99"/>
    <w:pPr>
      <w:tabs>
        <w:tab w:val="center" w:pos="4153"/>
        <w:tab w:val="right" w:pos="8306"/>
      </w:tabs>
    </w:pPr>
  </w:style>
  <w:style w:type="character" w:customStyle="1" w:styleId="a6">
    <w:name w:val="Верхний колонтитул Знак"/>
    <w:basedOn w:val="a0"/>
    <w:link w:val="a5"/>
    <w:uiPriority w:val="99"/>
    <w:locked/>
    <w:rsid w:val="00A02FF1"/>
    <w:rPr>
      <w:rFonts w:cs="Times New Roman"/>
      <w:sz w:val="28"/>
    </w:rPr>
  </w:style>
  <w:style w:type="character" w:styleId="a7">
    <w:name w:val="page number"/>
    <w:basedOn w:val="a0"/>
    <w:uiPriority w:val="99"/>
    <w:rPr>
      <w:rFonts w:cs="Times New Roman"/>
    </w:rPr>
  </w:style>
  <w:style w:type="paragraph" w:styleId="23">
    <w:name w:val="List 2"/>
    <w:basedOn w:val="a"/>
    <w:uiPriority w:val="99"/>
    <w:pPr>
      <w:ind w:left="566" w:hanging="283"/>
    </w:pPr>
  </w:style>
  <w:style w:type="paragraph" w:styleId="a8">
    <w:name w:val="List Bullet"/>
    <w:basedOn w:val="a"/>
    <w:autoRedefine/>
    <w:uiPriority w:val="99"/>
    <w:pPr>
      <w:keepNext/>
      <w:jc w:val="both"/>
    </w:pPr>
    <w:rPr>
      <w:b/>
    </w:rPr>
  </w:style>
  <w:style w:type="paragraph" w:styleId="24">
    <w:name w:val="List Bullet 2"/>
    <w:basedOn w:val="a"/>
    <w:autoRedefine/>
    <w:uiPriority w:val="99"/>
    <w:pPr>
      <w:jc w:val="both"/>
    </w:pPr>
  </w:style>
  <w:style w:type="paragraph" w:styleId="31">
    <w:name w:val="List Bullet 3"/>
    <w:basedOn w:val="a"/>
    <w:autoRedefine/>
    <w:uiPriority w:val="99"/>
    <w:pPr>
      <w:ind w:firstLine="720"/>
      <w:jc w:val="both"/>
    </w:pPr>
  </w:style>
  <w:style w:type="paragraph" w:styleId="25">
    <w:name w:val="List Continue 2"/>
    <w:basedOn w:val="a"/>
    <w:uiPriority w:val="99"/>
    <w:pPr>
      <w:spacing w:after="120"/>
      <w:ind w:left="566"/>
    </w:pPr>
  </w:style>
  <w:style w:type="paragraph" w:styleId="32">
    <w:name w:val="List Continue 3"/>
    <w:basedOn w:val="a"/>
    <w:uiPriority w:val="99"/>
    <w:pPr>
      <w:spacing w:after="120"/>
      <w:ind w:left="849"/>
    </w:pPr>
  </w:style>
  <w:style w:type="paragraph" w:styleId="a9">
    <w:name w:val="Body Text"/>
    <w:basedOn w:val="a"/>
    <w:link w:val="aa"/>
    <w:uiPriority w:val="99"/>
    <w:rsid w:val="00B05750"/>
    <w:pPr>
      <w:ind w:firstLine="709"/>
      <w:jc w:val="both"/>
    </w:pPr>
    <w:rPr>
      <w:szCs w:val="28"/>
    </w:rPr>
  </w:style>
  <w:style w:type="character" w:customStyle="1" w:styleId="aa">
    <w:name w:val="Основной текст Знак"/>
    <w:basedOn w:val="a0"/>
    <w:link w:val="a9"/>
    <w:uiPriority w:val="99"/>
    <w:locked/>
    <w:rsid w:val="00B05750"/>
    <w:rPr>
      <w:rFonts w:cs="Times New Roman"/>
      <w:sz w:val="28"/>
    </w:rPr>
  </w:style>
  <w:style w:type="paragraph" w:styleId="33">
    <w:name w:val="Body Text Indent 3"/>
    <w:basedOn w:val="a"/>
    <w:link w:val="34"/>
    <w:uiPriority w:val="99"/>
    <w:pPr>
      <w:ind w:firstLine="720"/>
    </w:pPr>
  </w:style>
  <w:style w:type="character" w:customStyle="1" w:styleId="34">
    <w:name w:val="Основной текст с отступом 3 Знак"/>
    <w:basedOn w:val="a0"/>
    <w:link w:val="33"/>
    <w:uiPriority w:val="99"/>
    <w:semiHidden/>
    <w:locked/>
    <w:rPr>
      <w:rFonts w:cs="Times New Roman"/>
      <w:sz w:val="16"/>
      <w:szCs w:val="16"/>
    </w:rPr>
  </w:style>
  <w:style w:type="paragraph" w:styleId="26">
    <w:name w:val="Body Text 2"/>
    <w:basedOn w:val="a"/>
    <w:link w:val="27"/>
    <w:uiPriority w:val="99"/>
    <w:pPr>
      <w:jc w:val="center"/>
    </w:pPr>
  </w:style>
  <w:style w:type="character" w:customStyle="1" w:styleId="27">
    <w:name w:val="Основной текст 2 Знак"/>
    <w:basedOn w:val="a0"/>
    <w:link w:val="26"/>
    <w:uiPriority w:val="99"/>
    <w:semiHidden/>
    <w:locked/>
    <w:rPr>
      <w:rFonts w:cs="Times New Roman"/>
      <w:sz w:val="28"/>
    </w:rPr>
  </w:style>
  <w:style w:type="paragraph" w:styleId="ab">
    <w:name w:val="Title"/>
    <w:basedOn w:val="a"/>
    <w:link w:val="ac"/>
    <w:uiPriority w:val="10"/>
    <w:qFormat/>
    <w:pPr>
      <w:jc w:val="center"/>
    </w:pPr>
    <w:rPr>
      <w:lang w:val="en-US"/>
    </w:rPr>
  </w:style>
  <w:style w:type="character" w:customStyle="1" w:styleId="ac">
    <w:name w:val="Название Знак"/>
    <w:basedOn w:val="a0"/>
    <w:link w:val="ab"/>
    <w:uiPriority w:val="10"/>
    <w:locked/>
    <w:rPr>
      <w:rFonts w:asciiTheme="majorHAnsi" w:eastAsiaTheme="majorEastAsia" w:hAnsiTheme="majorHAnsi" w:cs="Times New Roman"/>
      <w:b/>
      <w:bCs/>
      <w:kern w:val="28"/>
      <w:sz w:val="32"/>
      <w:szCs w:val="32"/>
    </w:rPr>
  </w:style>
  <w:style w:type="paragraph" w:styleId="ad">
    <w:name w:val="footnote text"/>
    <w:basedOn w:val="a"/>
    <w:link w:val="ae"/>
    <w:uiPriority w:val="99"/>
    <w:semiHidden/>
    <w:rPr>
      <w:sz w:val="20"/>
    </w:rPr>
  </w:style>
  <w:style w:type="character" w:customStyle="1" w:styleId="ae">
    <w:name w:val="Текст сноски Знак"/>
    <w:basedOn w:val="a0"/>
    <w:link w:val="ad"/>
    <w:uiPriority w:val="99"/>
    <w:semiHidden/>
    <w:locked/>
    <w:rPr>
      <w:rFonts w:cs="Times New Roman"/>
    </w:rPr>
  </w:style>
  <w:style w:type="character" w:styleId="af">
    <w:name w:val="footnote reference"/>
    <w:basedOn w:val="a0"/>
    <w:uiPriority w:val="99"/>
    <w:semiHidden/>
    <w:rPr>
      <w:rFonts w:cs="Times New Roman"/>
      <w:vertAlign w:val="superscript"/>
    </w:rPr>
  </w:style>
  <w:style w:type="paragraph" w:styleId="af0">
    <w:name w:val="Block Text"/>
    <w:basedOn w:val="a"/>
    <w:uiPriority w:val="99"/>
    <w:pPr>
      <w:ind w:left="-45" w:right="-124"/>
      <w:jc w:val="center"/>
    </w:pPr>
    <w:rPr>
      <w:lang w:val="en-US"/>
    </w:rPr>
  </w:style>
  <w:style w:type="paragraph" w:styleId="af1">
    <w:name w:val="footer"/>
    <w:basedOn w:val="a"/>
    <w:link w:val="af2"/>
    <w:uiPriority w:val="99"/>
    <w:pPr>
      <w:tabs>
        <w:tab w:val="center" w:pos="4153"/>
        <w:tab w:val="right" w:pos="8306"/>
      </w:tabs>
    </w:pPr>
  </w:style>
  <w:style w:type="character" w:customStyle="1" w:styleId="af2">
    <w:name w:val="Нижний колонтитул Знак"/>
    <w:basedOn w:val="a0"/>
    <w:link w:val="af1"/>
    <w:uiPriority w:val="99"/>
    <w:semiHidden/>
    <w:locked/>
    <w:rPr>
      <w:rFonts w:cs="Times New Roman"/>
      <w:sz w:val="28"/>
    </w:rPr>
  </w:style>
  <w:style w:type="paragraph" w:styleId="35">
    <w:name w:val="Body Text 3"/>
    <w:basedOn w:val="a"/>
    <w:link w:val="36"/>
    <w:uiPriority w:val="99"/>
    <w:pPr>
      <w:jc w:val="center"/>
    </w:pPr>
    <w:rPr>
      <w:b/>
    </w:rPr>
  </w:style>
  <w:style w:type="character" w:customStyle="1" w:styleId="36">
    <w:name w:val="Основной текст 3 Знак"/>
    <w:basedOn w:val="a0"/>
    <w:link w:val="35"/>
    <w:uiPriority w:val="99"/>
    <w:semiHidden/>
    <w:locked/>
    <w:rPr>
      <w:rFonts w:cs="Times New Roman"/>
      <w:sz w:val="16"/>
      <w:szCs w:val="16"/>
    </w:rPr>
  </w:style>
  <w:style w:type="paragraph" w:styleId="af3">
    <w:name w:val="List"/>
    <w:basedOn w:val="a"/>
    <w:uiPriority w:val="99"/>
    <w:pPr>
      <w:ind w:left="283" w:hanging="283"/>
    </w:pPr>
  </w:style>
  <w:style w:type="paragraph" w:styleId="37">
    <w:name w:val="List 3"/>
    <w:basedOn w:val="a"/>
    <w:uiPriority w:val="99"/>
    <w:pPr>
      <w:ind w:left="849" w:hanging="283"/>
    </w:pPr>
  </w:style>
  <w:style w:type="paragraph" w:styleId="41">
    <w:name w:val="List 4"/>
    <w:basedOn w:val="a"/>
    <w:uiPriority w:val="99"/>
    <w:pPr>
      <w:ind w:left="1132" w:hanging="283"/>
    </w:pPr>
  </w:style>
  <w:style w:type="paragraph" w:styleId="af4">
    <w:name w:val="Date"/>
    <w:basedOn w:val="a"/>
    <w:next w:val="a"/>
    <w:link w:val="af5"/>
    <w:uiPriority w:val="99"/>
  </w:style>
  <w:style w:type="character" w:customStyle="1" w:styleId="af5">
    <w:name w:val="Дата Знак"/>
    <w:basedOn w:val="a0"/>
    <w:link w:val="af4"/>
    <w:uiPriority w:val="99"/>
    <w:semiHidden/>
    <w:locked/>
    <w:rPr>
      <w:rFonts w:cs="Times New Roman"/>
      <w:sz w:val="28"/>
    </w:rPr>
  </w:style>
  <w:style w:type="paragraph" w:styleId="af6">
    <w:name w:val="Subtitle"/>
    <w:basedOn w:val="a"/>
    <w:link w:val="af7"/>
    <w:uiPriority w:val="11"/>
    <w:qFormat/>
    <w:pPr>
      <w:spacing w:after="60"/>
      <w:jc w:val="center"/>
      <w:outlineLvl w:val="1"/>
    </w:pPr>
    <w:rPr>
      <w:rFonts w:ascii="Arial" w:hAnsi="Arial"/>
      <w:sz w:val="24"/>
    </w:rPr>
  </w:style>
  <w:style w:type="character" w:customStyle="1" w:styleId="af7">
    <w:name w:val="Подзаголовок Знак"/>
    <w:basedOn w:val="a0"/>
    <w:link w:val="af6"/>
    <w:uiPriority w:val="11"/>
    <w:locked/>
    <w:rPr>
      <w:rFonts w:asciiTheme="majorHAnsi" w:eastAsiaTheme="majorEastAsia" w:hAnsiTheme="majorHAnsi" w:cs="Times New Roman"/>
      <w:sz w:val="24"/>
      <w:szCs w:val="24"/>
    </w:rPr>
  </w:style>
  <w:style w:type="character" w:styleId="af8">
    <w:name w:val="Hyperlink"/>
    <w:basedOn w:val="a0"/>
    <w:uiPriority w:val="99"/>
    <w:rPr>
      <w:rFonts w:cs="Times New Roman"/>
      <w:color w:val="0000FF"/>
      <w:u w:val="single"/>
    </w:rPr>
  </w:style>
  <w:style w:type="character" w:styleId="af9">
    <w:name w:val="FollowedHyperlink"/>
    <w:basedOn w:val="a0"/>
    <w:uiPriority w:val="99"/>
    <w:rPr>
      <w:rFonts w:cs="Times New Roman"/>
      <w:color w:val="800080"/>
      <w:u w:val="single"/>
    </w:rPr>
  </w:style>
  <w:style w:type="table" w:styleId="afa">
    <w:name w:val="Table Grid"/>
    <w:basedOn w:val="a1"/>
    <w:uiPriority w:val="59"/>
    <w:rsid w:val="00727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
    <w:link w:val="afc"/>
    <w:uiPriority w:val="99"/>
    <w:semiHidden/>
    <w:rsid w:val="00565F4D"/>
    <w:rPr>
      <w:rFonts w:ascii="Tahoma" w:hAnsi="Tahoma" w:cs="Tahoma"/>
      <w:sz w:val="16"/>
      <w:szCs w:val="16"/>
    </w:rPr>
  </w:style>
  <w:style w:type="character" w:customStyle="1" w:styleId="afc">
    <w:name w:val="Текст выноски Знак"/>
    <w:basedOn w:val="a0"/>
    <w:link w:val="afb"/>
    <w:uiPriority w:val="99"/>
    <w:semiHidden/>
    <w:locked/>
    <w:rPr>
      <w:rFonts w:ascii="Tahoma" w:hAnsi="Tahoma" w:cs="Tahoma"/>
      <w:sz w:val="16"/>
      <w:szCs w:val="16"/>
    </w:rPr>
  </w:style>
  <w:style w:type="paragraph" w:customStyle="1" w:styleId="310">
    <w:name w:val="Основной текст 31"/>
    <w:basedOn w:val="a"/>
    <w:rsid w:val="00D24EB4"/>
    <w:pPr>
      <w:suppressAutoHyphens/>
    </w:pPr>
    <w:rPr>
      <w:b/>
      <w:bCs/>
      <w:sz w:val="22"/>
      <w:szCs w:val="22"/>
      <w:lang w:eastAsia="ar-SA"/>
    </w:rPr>
  </w:style>
  <w:style w:type="paragraph" w:customStyle="1" w:styleId="Textbody">
    <w:name w:val="Text body"/>
    <w:basedOn w:val="a"/>
    <w:rsid w:val="009A2412"/>
    <w:pPr>
      <w:widowControl w:val="0"/>
      <w:suppressAutoHyphens/>
      <w:autoSpaceDN w:val="0"/>
      <w:spacing w:after="120"/>
      <w:textAlignment w:val="baseline"/>
    </w:pPr>
    <w:rPr>
      <w:rFonts w:eastAsia="SimSun" w:cs="Mangal"/>
      <w:kern w:val="3"/>
      <w:sz w:val="24"/>
      <w:szCs w:val="24"/>
      <w:lang w:eastAsia="zh-CN" w:bidi="hi-IN"/>
    </w:rPr>
  </w:style>
  <w:style w:type="paragraph" w:styleId="afd">
    <w:name w:val="List Paragraph"/>
    <w:basedOn w:val="a"/>
    <w:uiPriority w:val="34"/>
    <w:qFormat/>
    <w:rsid w:val="002F73F3"/>
    <w:pPr>
      <w:spacing w:after="200" w:line="276" w:lineRule="auto"/>
      <w:ind w:left="720"/>
      <w:contextualSpacing/>
    </w:pPr>
    <w:rPr>
      <w:rFonts w:ascii="Calibri" w:hAnsi="Calibri"/>
      <w:sz w:val="22"/>
      <w:szCs w:val="22"/>
    </w:rPr>
  </w:style>
  <w:style w:type="paragraph" w:customStyle="1" w:styleId="11">
    <w:name w:val="Знак1"/>
    <w:basedOn w:val="a"/>
    <w:rsid w:val="00E04F4D"/>
    <w:pPr>
      <w:spacing w:after="160" w:line="240" w:lineRule="exact"/>
    </w:pPr>
    <w:rPr>
      <w:rFonts w:ascii="Verdana" w:hAnsi="Verdana" w:cs="Verdana"/>
      <w:sz w:val="20"/>
      <w:lang w:val="en-US" w:eastAsia="en-US"/>
    </w:rPr>
  </w:style>
  <w:style w:type="paragraph" w:customStyle="1" w:styleId="ConsNonformat">
    <w:name w:val="ConsNonformat"/>
    <w:rsid w:val="00E04F4D"/>
    <w:pPr>
      <w:widowControl w:val="0"/>
      <w:autoSpaceDE w:val="0"/>
      <w:autoSpaceDN w:val="0"/>
      <w:adjustRightInd w:val="0"/>
      <w:ind w:right="19772"/>
    </w:pPr>
    <w:rPr>
      <w:rFonts w:ascii="Courier New" w:hAnsi="Courier New" w:cs="Courier New"/>
    </w:rPr>
  </w:style>
  <w:style w:type="paragraph" w:customStyle="1" w:styleId="ConsNormal">
    <w:name w:val="ConsNormal"/>
    <w:rsid w:val="00151E8A"/>
    <w:pPr>
      <w:widowControl w:val="0"/>
      <w:autoSpaceDE w:val="0"/>
      <w:autoSpaceDN w:val="0"/>
      <w:adjustRightInd w:val="0"/>
      <w:ind w:right="19772" w:firstLine="720"/>
    </w:pPr>
    <w:rPr>
      <w:rFonts w:ascii="Arial" w:hAnsi="Arial" w:cs="Arial"/>
    </w:rPr>
  </w:style>
  <w:style w:type="character" w:customStyle="1" w:styleId="ConsPlusNormal">
    <w:name w:val="ConsPlusNormal Знак"/>
    <w:link w:val="ConsPlusNormal0"/>
    <w:locked/>
    <w:rsid w:val="00DC0814"/>
    <w:rPr>
      <w:rFonts w:ascii="Arial" w:hAnsi="Arial" w:cs="Arial"/>
    </w:rPr>
  </w:style>
  <w:style w:type="paragraph" w:customStyle="1" w:styleId="ConsPlusNormal0">
    <w:name w:val="ConsPlusNormal"/>
    <w:link w:val="ConsPlusNormal"/>
    <w:rsid w:val="00DC0814"/>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2563">
      <w:bodyDiv w:val="1"/>
      <w:marLeft w:val="0"/>
      <w:marRight w:val="0"/>
      <w:marTop w:val="0"/>
      <w:marBottom w:val="0"/>
      <w:divBdr>
        <w:top w:val="none" w:sz="0" w:space="0" w:color="auto"/>
        <w:left w:val="none" w:sz="0" w:space="0" w:color="auto"/>
        <w:bottom w:val="none" w:sz="0" w:space="0" w:color="auto"/>
        <w:right w:val="none" w:sz="0" w:space="0" w:color="auto"/>
      </w:divBdr>
    </w:div>
    <w:div w:id="139033045">
      <w:bodyDiv w:val="1"/>
      <w:marLeft w:val="0"/>
      <w:marRight w:val="0"/>
      <w:marTop w:val="0"/>
      <w:marBottom w:val="0"/>
      <w:divBdr>
        <w:top w:val="none" w:sz="0" w:space="0" w:color="auto"/>
        <w:left w:val="none" w:sz="0" w:space="0" w:color="auto"/>
        <w:bottom w:val="none" w:sz="0" w:space="0" w:color="auto"/>
        <w:right w:val="none" w:sz="0" w:space="0" w:color="auto"/>
      </w:divBdr>
    </w:div>
    <w:div w:id="208566113">
      <w:bodyDiv w:val="1"/>
      <w:marLeft w:val="0"/>
      <w:marRight w:val="0"/>
      <w:marTop w:val="0"/>
      <w:marBottom w:val="0"/>
      <w:divBdr>
        <w:top w:val="none" w:sz="0" w:space="0" w:color="auto"/>
        <w:left w:val="none" w:sz="0" w:space="0" w:color="auto"/>
        <w:bottom w:val="none" w:sz="0" w:space="0" w:color="auto"/>
        <w:right w:val="none" w:sz="0" w:space="0" w:color="auto"/>
      </w:divBdr>
    </w:div>
    <w:div w:id="238635436">
      <w:bodyDiv w:val="1"/>
      <w:marLeft w:val="0"/>
      <w:marRight w:val="0"/>
      <w:marTop w:val="0"/>
      <w:marBottom w:val="0"/>
      <w:divBdr>
        <w:top w:val="none" w:sz="0" w:space="0" w:color="auto"/>
        <w:left w:val="none" w:sz="0" w:space="0" w:color="auto"/>
        <w:bottom w:val="none" w:sz="0" w:space="0" w:color="auto"/>
        <w:right w:val="none" w:sz="0" w:space="0" w:color="auto"/>
      </w:divBdr>
    </w:div>
    <w:div w:id="246308097">
      <w:bodyDiv w:val="1"/>
      <w:marLeft w:val="0"/>
      <w:marRight w:val="0"/>
      <w:marTop w:val="0"/>
      <w:marBottom w:val="0"/>
      <w:divBdr>
        <w:top w:val="none" w:sz="0" w:space="0" w:color="auto"/>
        <w:left w:val="none" w:sz="0" w:space="0" w:color="auto"/>
        <w:bottom w:val="none" w:sz="0" w:space="0" w:color="auto"/>
        <w:right w:val="none" w:sz="0" w:space="0" w:color="auto"/>
      </w:divBdr>
    </w:div>
    <w:div w:id="254486265">
      <w:bodyDiv w:val="1"/>
      <w:marLeft w:val="0"/>
      <w:marRight w:val="0"/>
      <w:marTop w:val="0"/>
      <w:marBottom w:val="0"/>
      <w:divBdr>
        <w:top w:val="none" w:sz="0" w:space="0" w:color="auto"/>
        <w:left w:val="none" w:sz="0" w:space="0" w:color="auto"/>
        <w:bottom w:val="none" w:sz="0" w:space="0" w:color="auto"/>
        <w:right w:val="none" w:sz="0" w:space="0" w:color="auto"/>
      </w:divBdr>
    </w:div>
    <w:div w:id="373234066">
      <w:bodyDiv w:val="1"/>
      <w:marLeft w:val="0"/>
      <w:marRight w:val="0"/>
      <w:marTop w:val="0"/>
      <w:marBottom w:val="0"/>
      <w:divBdr>
        <w:top w:val="none" w:sz="0" w:space="0" w:color="auto"/>
        <w:left w:val="none" w:sz="0" w:space="0" w:color="auto"/>
        <w:bottom w:val="none" w:sz="0" w:space="0" w:color="auto"/>
        <w:right w:val="none" w:sz="0" w:space="0" w:color="auto"/>
      </w:divBdr>
    </w:div>
    <w:div w:id="378091485">
      <w:bodyDiv w:val="1"/>
      <w:marLeft w:val="0"/>
      <w:marRight w:val="0"/>
      <w:marTop w:val="0"/>
      <w:marBottom w:val="0"/>
      <w:divBdr>
        <w:top w:val="none" w:sz="0" w:space="0" w:color="auto"/>
        <w:left w:val="none" w:sz="0" w:space="0" w:color="auto"/>
        <w:bottom w:val="none" w:sz="0" w:space="0" w:color="auto"/>
        <w:right w:val="none" w:sz="0" w:space="0" w:color="auto"/>
      </w:divBdr>
    </w:div>
    <w:div w:id="390277620">
      <w:bodyDiv w:val="1"/>
      <w:marLeft w:val="0"/>
      <w:marRight w:val="0"/>
      <w:marTop w:val="0"/>
      <w:marBottom w:val="0"/>
      <w:divBdr>
        <w:top w:val="none" w:sz="0" w:space="0" w:color="auto"/>
        <w:left w:val="none" w:sz="0" w:space="0" w:color="auto"/>
        <w:bottom w:val="none" w:sz="0" w:space="0" w:color="auto"/>
        <w:right w:val="none" w:sz="0" w:space="0" w:color="auto"/>
      </w:divBdr>
    </w:div>
    <w:div w:id="454326282">
      <w:bodyDiv w:val="1"/>
      <w:marLeft w:val="0"/>
      <w:marRight w:val="0"/>
      <w:marTop w:val="0"/>
      <w:marBottom w:val="0"/>
      <w:divBdr>
        <w:top w:val="none" w:sz="0" w:space="0" w:color="auto"/>
        <w:left w:val="none" w:sz="0" w:space="0" w:color="auto"/>
        <w:bottom w:val="none" w:sz="0" w:space="0" w:color="auto"/>
        <w:right w:val="none" w:sz="0" w:space="0" w:color="auto"/>
      </w:divBdr>
    </w:div>
    <w:div w:id="560288262">
      <w:bodyDiv w:val="1"/>
      <w:marLeft w:val="0"/>
      <w:marRight w:val="0"/>
      <w:marTop w:val="0"/>
      <w:marBottom w:val="0"/>
      <w:divBdr>
        <w:top w:val="none" w:sz="0" w:space="0" w:color="auto"/>
        <w:left w:val="none" w:sz="0" w:space="0" w:color="auto"/>
        <w:bottom w:val="none" w:sz="0" w:space="0" w:color="auto"/>
        <w:right w:val="none" w:sz="0" w:space="0" w:color="auto"/>
      </w:divBdr>
    </w:div>
    <w:div w:id="576213386">
      <w:bodyDiv w:val="1"/>
      <w:marLeft w:val="0"/>
      <w:marRight w:val="0"/>
      <w:marTop w:val="0"/>
      <w:marBottom w:val="0"/>
      <w:divBdr>
        <w:top w:val="none" w:sz="0" w:space="0" w:color="auto"/>
        <w:left w:val="none" w:sz="0" w:space="0" w:color="auto"/>
        <w:bottom w:val="none" w:sz="0" w:space="0" w:color="auto"/>
        <w:right w:val="none" w:sz="0" w:space="0" w:color="auto"/>
      </w:divBdr>
    </w:div>
    <w:div w:id="741609266">
      <w:bodyDiv w:val="1"/>
      <w:marLeft w:val="0"/>
      <w:marRight w:val="0"/>
      <w:marTop w:val="0"/>
      <w:marBottom w:val="0"/>
      <w:divBdr>
        <w:top w:val="none" w:sz="0" w:space="0" w:color="auto"/>
        <w:left w:val="none" w:sz="0" w:space="0" w:color="auto"/>
        <w:bottom w:val="none" w:sz="0" w:space="0" w:color="auto"/>
        <w:right w:val="none" w:sz="0" w:space="0" w:color="auto"/>
      </w:divBdr>
    </w:div>
    <w:div w:id="884289198">
      <w:bodyDiv w:val="1"/>
      <w:marLeft w:val="0"/>
      <w:marRight w:val="0"/>
      <w:marTop w:val="0"/>
      <w:marBottom w:val="0"/>
      <w:divBdr>
        <w:top w:val="none" w:sz="0" w:space="0" w:color="auto"/>
        <w:left w:val="none" w:sz="0" w:space="0" w:color="auto"/>
        <w:bottom w:val="none" w:sz="0" w:space="0" w:color="auto"/>
        <w:right w:val="none" w:sz="0" w:space="0" w:color="auto"/>
      </w:divBdr>
    </w:div>
    <w:div w:id="1047796056">
      <w:bodyDiv w:val="1"/>
      <w:marLeft w:val="0"/>
      <w:marRight w:val="0"/>
      <w:marTop w:val="0"/>
      <w:marBottom w:val="0"/>
      <w:divBdr>
        <w:top w:val="none" w:sz="0" w:space="0" w:color="auto"/>
        <w:left w:val="none" w:sz="0" w:space="0" w:color="auto"/>
        <w:bottom w:val="none" w:sz="0" w:space="0" w:color="auto"/>
        <w:right w:val="none" w:sz="0" w:space="0" w:color="auto"/>
      </w:divBdr>
    </w:div>
    <w:div w:id="1092430188">
      <w:bodyDiv w:val="1"/>
      <w:marLeft w:val="0"/>
      <w:marRight w:val="0"/>
      <w:marTop w:val="0"/>
      <w:marBottom w:val="0"/>
      <w:divBdr>
        <w:top w:val="none" w:sz="0" w:space="0" w:color="auto"/>
        <w:left w:val="none" w:sz="0" w:space="0" w:color="auto"/>
        <w:bottom w:val="none" w:sz="0" w:space="0" w:color="auto"/>
        <w:right w:val="none" w:sz="0" w:space="0" w:color="auto"/>
      </w:divBdr>
    </w:div>
    <w:div w:id="1102842779">
      <w:bodyDiv w:val="1"/>
      <w:marLeft w:val="0"/>
      <w:marRight w:val="0"/>
      <w:marTop w:val="0"/>
      <w:marBottom w:val="0"/>
      <w:divBdr>
        <w:top w:val="none" w:sz="0" w:space="0" w:color="auto"/>
        <w:left w:val="none" w:sz="0" w:space="0" w:color="auto"/>
        <w:bottom w:val="none" w:sz="0" w:space="0" w:color="auto"/>
        <w:right w:val="none" w:sz="0" w:space="0" w:color="auto"/>
      </w:divBdr>
    </w:div>
    <w:div w:id="1135172566">
      <w:bodyDiv w:val="1"/>
      <w:marLeft w:val="0"/>
      <w:marRight w:val="0"/>
      <w:marTop w:val="0"/>
      <w:marBottom w:val="0"/>
      <w:divBdr>
        <w:top w:val="none" w:sz="0" w:space="0" w:color="auto"/>
        <w:left w:val="none" w:sz="0" w:space="0" w:color="auto"/>
        <w:bottom w:val="none" w:sz="0" w:space="0" w:color="auto"/>
        <w:right w:val="none" w:sz="0" w:space="0" w:color="auto"/>
      </w:divBdr>
    </w:div>
    <w:div w:id="1164392754">
      <w:bodyDiv w:val="1"/>
      <w:marLeft w:val="0"/>
      <w:marRight w:val="0"/>
      <w:marTop w:val="0"/>
      <w:marBottom w:val="0"/>
      <w:divBdr>
        <w:top w:val="none" w:sz="0" w:space="0" w:color="auto"/>
        <w:left w:val="none" w:sz="0" w:space="0" w:color="auto"/>
        <w:bottom w:val="none" w:sz="0" w:space="0" w:color="auto"/>
        <w:right w:val="none" w:sz="0" w:space="0" w:color="auto"/>
      </w:divBdr>
    </w:div>
    <w:div w:id="1237395775">
      <w:bodyDiv w:val="1"/>
      <w:marLeft w:val="0"/>
      <w:marRight w:val="0"/>
      <w:marTop w:val="0"/>
      <w:marBottom w:val="0"/>
      <w:divBdr>
        <w:top w:val="none" w:sz="0" w:space="0" w:color="auto"/>
        <w:left w:val="none" w:sz="0" w:space="0" w:color="auto"/>
        <w:bottom w:val="none" w:sz="0" w:space="0" w:color="auto"/>
        <w:right w:val="none" w:sz="0" w:space="0" w:color="auto"/>
      </w:divBdr>
    </w:div>
    <w:div w:id="1307007234">
      <w:bodyDiv w:val="1"/>
      <w:marLeft w:val="0"/>
      <w:marRight w:val="0"/>
      <w:marTop w:val="0"/>
      <w:marBottom w:val="0"/>
      <w:divBdr>
        <w:top w:val="none" w:sz="0" w:space="0" w:color="auto"/>
        <w:left w:val="none" w:sz="0" w:space="0" w:color="auto"/>
        <w:bottom w:val="none" w:sz="0" w:space="0" w:color="auto"/>
        <w:right w:val="none" w:sz="0" w:space="0" w:color="auto"/>
      </w:divBdr>
    </w:div>
    <w:div w:id="1406684102">
      <w:bodyDiv w:val="1"/>
      <w:marLeft w:val="0"/>
      <w:marRight w:val="0"/>
      <w:marTop w:val="0"/>
      <w:marBottom w:val="0"/>
      <w:divBdr>
        <w:top w:val="none" w:sz="0" w:space="0" w:color="auto"/>
        <w:left w:val="none" w:sz="0" w:space="0" w:color="auto"/>
        <w:bottom w:val="none" w:sz="0" w:space="0" w:color="auto"/>
        <w:right w:val="none" w:sz="0" w:space="0" w:color="auto"/>
      </w:divBdr>
    </w:div>
    <w:div w:id="1536239130">
      <w:bodyDiv w:val="1"/>
      <w:marLeft w:val="0"/>
      <w:marRight w:val="0"/>
      <w:marTop w:val="0"/>
      <w:marBottom w:val="0"/>
      <w:divBdr>
        <w:top w:val="none" w:sz="0" w:space="0" w:color="auto"/>
        <w:left w:val="none" w:sz="0" w:space="0" w:color="auto"/>
        <w:bottom w:val="none" w:sz="0" w:space="0" w:color="auto"/>
        <w:right w:val="none" w:sz="0" w:space="0" w:color="auto"/>
      </w:divBdr>
    </w:div>
    <w:div w:id="1569456542">
      <w:bodyDiv w:val="1"/>
      <w:marLeft w:val="0"/>
      <w:marRight w:val="0"/>
      <w:marTop w:val="0"/>
      <w:marBottom w:val="0"/>
      <w:divBdr>
        <w:top w:val="none" w:sz="0" w:space="0" w:color="auto"/>
        <w:left w:val="none" w:sz="0" w:space="0" w:color="auto"/>
        <w:bottom w:val="none" w:sz="0" w:space="0" w:color="auto"/>
        <w:right w:val="none" w:sz="0" w:space="0" w:color="auto"/>
      </w:divBdr>
    </w:div>
    <w:div w:id="1579097186">
      <w:bodyDiv w:val="1"/>
      <w:marLeft w:val="0"/>
      <w:marRight w:val="0"/>
      <w:marTop w:val="0"/>
      <w:marBottom w:val="0"/>
      <w:divBdr>
        <w:top w:val="none" w:sz="0" w:space="0" w:color="auto"/>
        <w:left w:val="none" w:sz="0" w:space="0" w:color="auto"/>
        <w:bottom w:val="none" w:sz="0" w:space="0" w:color="auto"/>
        <w:right w:val="none" w:sz="0" w:space="0" w:color="auto"/>
      </w:divBdr>
    </w:div>
    <w:div w:id="1703168450">
      <w:bodyDiv w:val="1"/>
      <w:marLeft w:val="0"/>
      <w:marRight w:val="0"/>
      <w:marTop w:val="0"/>
      <w:marBottom w:val="0"/>
      <w:divBdr>
        <w:top w:val="none" w:sz="0" w:space="0" w:color="auto"/>
        <w:left w:val="none" w:sz="0" w:space="0" w:color="auto"/>
        <w:bottom w:val="none" w:sz="0" w:space="0" w:color="auto"/>
        <w:right w:val="none" w:sz="0" w:space="0" w:color="auto"/>
      </w:divBdr>
    </w:div>
    <w:div w:id="1775468312">
      <w:bodyDiv w:val="1"/>
      <w:marLeft w:val="0"/>
      <w:marRight w:val="0"/>
      <w:marTop w:val="0"/>
      <w:marBottom w:val="0"/>
      <w:divBdr>
        <w:top w:val="none" w:sz="0" w:space="0" w:color="auto"/>
        <w:left w:val="none" w:sz="0" w:space="0" w:color="auto"/>
        <w:bottom w:val="none" w:sz="0" w:space="0" w:color="auto"/>
        <w:right w:val="none" w:sz="0" w:space="0" w:color="auto"/>
      </w:divBdr>
    </w:div>
    <w:div w:id="1883202442">
      <w:bodyDiv w:val="1"/>
      <w:marLeft w:val="0"/>
      <w:marRight w:val="0"/>
      <w:marTop w:val="0"/>
      <w:marBottom w:val="0"/>
      <w:divBdr>
        <w:top w:val="none" w:sz="0" w:space="0" w:color="auto"/>
        <w:left w:val="none" w:sz="0" w:space="0" w:color="auto"/>
        <w:bottom w:val="none" w:sz="0" w:space="0" w:color="auto"/>
        <w:right w:val="none" w:sz="0" w:space="0" w:color="auto"/>
      </w:divBdr>
    </w:div>
    <w:div w:id="1921718483">
      <w:bodyDiv w:val="1"/>
      <w:marLeft w:val="0"/>
      <w:marRight w:val="0"/>
      <w:marTop w:val="0"/>
      <w:marBottom w:val="0"/>
      <w:divBdr>
        <w:top w:val="none" w:sz="0" w:space="0" w:color="auto"/>
        <w:left w:val="none" w:sz="0" w:space="0" w:color="auto"/>
        <w:bottom w:val="none" w:sz="0" w:space="0" w:color="auto"/>
        <w:right w:val="none" w:sz="0" w:space="0" w:color="auto"/>
      </w:divBdr>
    </w:div>
    <w:div w:id="1946302954">
      <w:bodyDiv w:val="1"/>
      <w:marLeft w:val="0"/>
      <w:marRight w:val="0"/>
      <w:marTop w:val="0"/>
      <w:marBottom w:val="0"/>
      <w:divBdr>
        <w:top w:val="none" w:sz="0" w:space="0" w:color="auto"/>
        <w:left w:val="none" w:sz="0" w:space="0" w:color="auto"/>
        <w:bottom w:val="none" w:sz="0" w:space="0" w:color="auto"/>
        <w:right w:val="none" w:sz="0" w:space="0" w:color="auto"/>
      </w:divBdr>
    </w:div>
    <w:div w:id="1964462208">
      <w:bodyDiv w:val="1"/>
      <w:marLeft w:val="0"/>
      <w:marRight w:val="0"/>
      <w:marTop w:val="0"/>
      <w:marBottom w:val="0"/>
      <w:divBdr>
        <w:top w:val="none" w:sz="0" w:space="0" w:color="auto"/>
        <w:left w:val="none" w:sz="0" w:space="0" w:color="auto"/>
        <w:bottom w:val="none" w:sz="0" w:space="0" w:color="auto"/>
        <w:right w:val="none" w:sz="0" w:space="0" w:color="auto"/>
      </w:divBdr>
    </w:div>
    <w:div w:id="1969848114">
      <w:marLeft w:val="0"/>
      <w:marRight w:val="0"/>
      <w:marTop w:val="0"/>
      <w:marBottom w:val="0"/>
      <w:divBdr>
        <w:top w:val="none" w:sz="0" w:space="0" w:color="auto"/>
        <w:left w:val="none" w:sz="0" w:space="0" w:color="auto"/>
        <w:bottom w:val="none" w:sz="0" w:space="0" w:color="auto"/>
        <w:right w:val="none" w:sz="0" w:space="0" w:color="auto"/>
      </w:divBdr>
    </w:div>
    <w:div w:id="1969848115">
      <w:marLeft w:val="0"/>
      <w:marRight w:val="0"/>
      <w:marTop w:val="0"/>
      <w:marBottom w:val="0"/>
      <w:divBdr>
        <w:top w:val="none" w:sz="0" w:space="0" w:color="auto"/>
        <w:left w:val="none" w:sz="0" w:space="0" w:color="auto"/>
        <w:bottom w:val="none" w:sz="0" w:space="0" w:color="auto"/>
        <w:right w:val="none" w:sz="0" w:space="0" w:color="auto"/>
      </w:divBdr>
    </w:div>
    <w:div w:id="2005090496">
      <w:bodyDiv w:val="1"/>
      <w:marLeft w:val="0"/>
      <w:marRight w:val="0"/>
      <w:marTop w:val="0"/>
      <w:marBottom w:val="0"/>
      <w:divBdr>
        <w:top w:val="none" w:sz="0" w:space="0" w:color="auto"/>
        <w:left w:val="none" w:sz="0" w:space="0" w:color="auto"/>
        <w:bottom w:val="none" w:sz="0" w:space="0" w:color="auto"/>
        <w:right w:val="none" w:sz="0" w:space="0" w:color="auto"/>
      </w:divBdr>
    </w:div>
    <w:div w:id="2104761711">
      <w:bodyDiv w:val="1"/>
      <w:marLeft w:val="0"/>
      <w:marRight w:val="0"/>
      <w:marTop w:val="0"/>
      <w:marBottom w:val="0"/>
      <w:divBdr>
        <w:top w:val="none" w:sz="0" w:space="0" w:color="auto"/>
        <w:left w:val="none" w:sz="0" w:space="0" w:color="auto"/>
        <w:bottom w:val="none" w:sz="0" w:space="0" w:color="auto"/>
        <w:right w:val="none" w:sz="0" w:space="0" w:color="auto"/>
      </w:divBdr>
    </w:div>
    <w:div w:id="2140147343">
      <w:bodyDiv w:val="1"/>
      <w:marLeft w:val="0"/>
      <w:marRight w:val="0"/>
      <w:marTop w:val="0"/>
      <w:marBottom w:val="0"/>
      <w:divBdr>
        <w:top w:val="none" w:sz="0" w:space="0" w:color="auto"/>
        <w:left w:val="none" w:sz="0" w:space="0" w:color="auto"/>
        <w:bottom w:val="none" w:sz="0" w:space="0" w:color="auto"/>
        <w:right w:val="none" w:sz="0" w:space="0" w:color="auto"/>
      </w:divBdr>
    </w:div>
    <w:div w:id="214102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A2B03-3F07-4845-85A5-2CCCE7845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2184</TotalTime>
  <Pages>18</Pages>
  <Words>6673</Words>
  <Characters>38042</Characters>
  <Application>Microsoft Office Word</Application>
  <DocSecurity>0</DocSecurity>
  <Lines>317</Lines>
  <Paragraphs>89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Костюк</vt:lpstr>
      <vt:lpstr>Ответственность за заключение ограничивающего конкуренцию соглашения предусмотре</vt:lpstr>
    </vt:vector>
  </TitlesOfParts>
  <Company>GAK</Company>
  <LinksUpToDate>false</LinksUpToDate>
  <CharactersWithSpaces>44626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Костюк</dc:title>
  <dc:creator>GAK_10</dc:creator>
  <cp:lastModifiedBy>Иванова Л.В.</cp:lastModifiedBy>
  <cp:revision>124</cp:revision>
  <cp:lastPrinted>2018-03-16T05:52:00Z</cp:lastPrinted>
  <dcterms:created xsi:type="dcterms:W3CDTF">2017-12-12T05:35:00Z</dcterms:created>
  <dcterms:modified xsi:type="dcterms:W3CDTF">2018-06-25T10:22:00Z</dcterms:modified>
</cp:coreProperties>
</file>