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C4" w:rsidRPr="00E51412" w:rsidRDefault="00EB41D3" w:rsidP="00344CBD">
      <w:pPr>
        <w:pStyle w:val="1"/>
        <w:widowControl w:val="0"/>
        <w:spacing w:before="120" w:line="276" w:lineRule="auto"/>
        <w:ind w:firstLine="454"/>
        <w:jc w:val="both"/>
        <w:rPr>
          <w:u w:val="single"/>
        </w:rPr>
      </w:pPr>
      <w:bookmarkStart w:id="0" w:name="_GoBack"/>
      <w:bookmarkEnd w:id="0"/>
      <w:r w:rsidRPr="00E51412">
        <w:rPr>
          <w:u w:val="single"/>
        </w:rPr>
        <w:t>Антимонопольный контроль: п</w:t>
      </w:r>
      <w:r w:rsidR="009E13C4" w:rsidRPr="00E51412">
        <w:rPr>
          <w:u w:val="single"/>
        </w:rPr>
        <w:t>рактика выявления и пресечения нарушений Закон</w:t>
      </w:r>
      <w:r w:rsidR="00C56AAE" w:rsidRPr="00E51412">
        <w:rPr>
          <w:u w:val="single"/>
        </w:rPr>
        <w:t>а</w:t>
      </w:r>
      <w:r w:rsidR="005021ED" w:rsidRPr="00E51412">
        <w:rPr>
          <w:u w:val="single"/>
        </w:rPr>
        <w:t xml:space="preserve"> </w:t>
      </w:r>
      <w:r w:rsidR="00BE26D8" w:rsidRPr="00E51412">
        <w:rPr>
          <w:u w:val="single"/>
        </w:rPr>
        <w:t xml:space="preserve">о </w:t>
      </w:r>
      <w:r w:rsidRPr="00E51412">
        <w:rPr>
          <w:u w:val="single"/>
        </w:rPr>
        <w:t xml:space="preserve">защите </w:t>
      </w:r>
      <w:r w:rsidR="009E13C4" w:rsidRPr="00E51412">
        <w:rPr>
          <w:u w:val="single"/>
        </w:rPr>
        <w:t>конкуренции</w:t>
      </w:r>
      <w:r w:rsidR="002E2AB1" w:rsidRPr="00E51412">
        <w:rPr>
          <w:u w:val="single"/>
        </w:rPr>
        <w:t xml:space="preserve"> за </w:t>
      </w:r>
      <w:r w:rsidR="00CA5952" w:rsidRPr="00E51412">
        <w:rPr>
          <w:u w:val="single"/>
        </w:rPr>
        <w:t xml:space="preserve">первое полугодие </w:t>
      </w:r>
      <w:r w:rsidR="002E2AB1" w:rsidRPr="00E51412">
        <w:rPr>
          <w:u w:val="single"/>
        </w:rPr>
        <w:t>201</w:t>
      </w:r>
      <w:r w:rsidR="00CA5952" w:rsidRPr="00E51412">
        <w:rPr>
          <w:u w:val="single"/>
        </w:rPr>
        <w:t>7</w:t>
      </w:r>
      <w:r w:rsidR="002E2AB1" w:rsidRPr="00E51412">
        <w:rPr>
          <w:u w:val="single"/>
        </w:rPr>
        <w:t xml:space="preserve"> год</w:t>
      </w:r>
      <w:r w:rsidR="00CA5952" w:rsidRPr="00E51412">
        <w:rPr>
          <w:u w:val="single"/>
        </w:rPr>
        <w:t>а</w:t>
      </w:r>
    </w:p>
    <w:p w:rsidR="00B36ACA" w:rsidRDefault="00B36ACA" w:rsidP="00344CBD">
      <w:pPr>
        <w:widowControl w:val="0"/>
        <w:spacing w:before="120" w:line="276" w:lineRule="auto"/>
        <w:ind w:firstLine="454"/>
        <w:jc w:val="both"/>
        <w:rPr>
          <w:b/>
          <w:szCs w:val="28"/>
        </w:rPr>
      </w:pPr>
    </w:p>
    <w:p w:rsidR="00EC102A" w:rsidRPr="00AC39E8" w:rsidRDefault="00CA5952" w:rsidP="00344CBD">
      <w:pPr>
        <w:widowControl w:val="0"/>
        <w:spacing w:before="120" w:line="276" w:lineRule="auto"/>
        <w:ind w:firstLine="454"/>
        <w:jc w:val="both"/>
        <w:rPr>
          <w:b/>
          <w:szCs w:val="28"/>
        </w:rPr>
      </w:pPr>
      <w:r w:rsidRPr="00AC39E8">
        <w:rPr>
          <w:b/>
          <w:szCs w:val="28"/>
        </w:rPr>
        <w:t>П</w:t>
      </w:r>
      <w:r w:rsidR="00EC102A" w:rsidRPr="00AC39E8">
        <w:rPr>
          <w:b/>
          <w:szCs w:val="28"/>
        </w:rPr>
        <w:t>ресечени</w:t>
      </w:r>
      <w:r w:rsidRPr="00AC39E8">
        <w:rPr>
          <w:b/>
          <w:szCs w:val="28"/>
        </w:rPr>
        <w:t>е</w:t>
      </w:r>
      <w:r w:rsidR="00EC102A" w:rsidRPr="00AC39E8">
        <w:rPr>
          <w:b/>
          <w:szCs w:val="28"/>
        </w:rPr>
        <w:t xml:space="preserve"> нарушений Закона о защите конкуренции в виде злоупотребления хозяйствующих субъектов доминирующим положением  (статья 10</w:t>
      </w:r>
      <w:r w:rsidR="002E2AB1" w:rsidRPr="00AC39E8">
        <w:rPr>
          <w:b/>
          <w:szCs w:val="28"/>
        </w:rPr>
        <w:t xml:space="preserve"> Закона о защите конкуренции</w:t>
      </w:r>
      <w:r w:rsidR="00EC102A" w:rsidRPr="00AC39E8">
        <w:rPr>
          <w:b/>
          <w:szCs w:val="28"/>
        </w:rPr>
        <w:t>)</w:t>
      </w:r>
    </w:p>
    <w:p w:rsidR="002645B9" w:rsidRPr="00AC39E8" w:rsidRDefault="004D29AC" w:rsidP="00344CBD">
      <w:pPr>
        <w:spacing w:before="120" w:line="276" w:lineRule="auto"/>
        <w:ind w:firstLine="454"/>
        <w:jc w:val="both"/>
        <w:rPr>
          <w:szCs w:val="28"/>
        </w:rPr>
      </w:pPr>
      <w:r w:rsidRPr="00AC39E8">
        <w:rPr>
          <w:szCs w:val="28"/>
        </w:rPr>
        <w:t xml:space="preserve">Управлением Федеральной антимонопольной службы по Тюменской области в </w:t>
      </w:r>
      <w:r w:rsidR="00CA5952" w:rsidRPr="00AC39E8">
        <w:rPr>
          <w:szCs w:val="28"/>
        </w:rPr>
        <w:t xml:space="preserve">первом полугодии </w:t>
      </w:r>
      <w:r w:rsidRPr="00AC39E8">
        <w:rPr>
          <w:szCs w:val="28"/>
        </w:rPr>
        <w:t>201</w:t>
      </w:r>
      <w:r w:rsidR="00CA5952" w:rsidRPr="00AC39E8">
        <w:rPr>
          <w:szCs w:val="28"/>
        </w:rPr>
        <w:t>7</w:t>
      </w:r>
      <w:r w:rsidRPr="00AC39E8">
        <w:rPr>
          <w:szCs w:val="28"/>
        </w:rPr>
        <w:t xml:space="preserve"> год</w:t>
      </w:r>
      <w:r w:rsidR="00CA5952" w:rsidRPr="00AC39E8">
        <w:rPr>
          <w:szCs w:val="28"/>
        </w:rPr>
        <w:t>а</w:t>
      </w:r>
      <w:r w:rsidRPr="00AC39E8">
        <w:rPr>
          <w:szCs w:val="28"/>
        </w:rPr>
        <w:t xml:space="preserve"> рассмотрено </w:t>
      </w:r>
      <w:r w:rsidR="002645B9" w:rsidRPr="00AC39E8">
        <w:rPr>
          <w:szCs w:val="28"/>
        </w:rPr>
        <w:t xml:space="preserve">212 </w:t>
      </w:r>
      <w:r w:rsidRPr="00AC39E8">
        <w:rPr>
          <w:szCs w:val="28"/>
        </w:rPr>
        <w:t>заявлени</w:t>
      </w:r>
      <w:r w:rsidR="002645B9" w:rsidRPr="00AC39E8">
        <w:rPr>
          <w:szCs w:val="28"/>
        </w:rPr>
        <w:t>й</w:t>
      </w:r>
      <w:r w:rsidRPr="00AC39E8">
        <w:rPr>
          <w:szCs w:val="28"/>
        </w:rPr>
        <w:t xml:space="preserve"> о нарушении антимонопольного законодательства поставщиками товара (услуги, работы)</w:t>
      </w:r>
      <w:r w:rsidR="002645B9" w:rsidRPr="00AC39E8">
        <w:rPr>
          <w:szCs w:val="28"/>
        </w:rPr>
        <w:t xml:space="preserve">.  </w:t>
      </w:r>
      <w:r w:rsidR="00E17278" w:rsidRPr="00AC39E8">
        <w:rPr>
          <w:szCs w:val="28"/>
        </w:rPr>
        <w:t>Показатели деятельности управления п</w:t>
      </w:r>
      <w:r w:rsidR="00C90C2F" w:rsidRPr="00AC39E8">
        <w:rPr>
          <w:szCs w:val="28"/>
        </w:rPr>
        <w:t xml:space="preserve">о количеству рассмотренных заявлений за шесть месяцев текущего года аналогичны прошлогодним. </w:t>
      </w:r>
    </w:p>
    <w:p w:rsidR="00E17278" w:rsidRPr="00AC39E8" w:rsidRDefault="00E417E4" w:rsidP="00344CBD">
      <w:pPr>
        <w:spacing w:before="120" w:line="276" w:lineRule="auto"/>
        <w:ind w:firstLine="454"/>
        <w:jc w:val="both"/>
        <w:rPr>
          <w:szCs w:val="28"/>
        </w:rPr>
      </w:pPr>
      <w:r w:rsidRPr="00AC39E8">
        <w:rPr>
          <w:szCs w:val="28"/>
        </w:rPr>
        <w:t>Основная</w:t>
      </w:r>
      <w:r w:rsidR="00A91378" w:rsidRPr="00AC39E8">
        <w:rPr>
          <w:szCs w:val="28"/>
        </w:rPr>
        <w:t xml:space="preserve"> часть заявлений направлено в управление </w:t>
      </w:r>
      <w:r w:rsidR="004D29AC" w:rsidRPr="00AC39E8">
        <w:rPr>
          <w:szCs w:val="28"/>
        </w:rPr>
        <w:t>физически</w:t>
      </w:r>
      <w:r w:rsidR="00A91378" w:rsidRPr="00AC39E8">
        <w:rPr>
          <w:szCs w:val="28"/>
        </w:rPr>
        <w:t>ми</w:t>
      </w:r>
      <w:r w:rsidR="004D29AC" w:rsidRPr="00AC39E8">
        <w:rPr>
          <w:szCs w:val="28"/>
        </w:rPr>
        <w:t xml:space="preserve"> лица</w:t>
      </w:r>
      <w:r w:rsidR="00A91378" w:rsidRPr="00AC39E8">
        <w:rPr>
          <w:szCs w:val="28"/>
        </w:rPr>
        <w:t>ми</w:t>
      </w:r>
      <w:r w:rsidR="00E17278" w:rsidRPr="00AC39E8">
        <w:rPr>
          <w:szCs w:val="28"/>
        </w:rPr>
        <w:t xml:space="preserve">. Практика показывает, что  заявления физических лиц составляют </w:t>
      </w:r>
      <w:r w:rsidR="00A91378" w:rsidRPr="00AC39E8">
        <w:rPr>
          <w:szCs w:val="28"/>
        </w:rPr>
        <w:t xml:space="preserve">порядка 70% всех </w:t>
      </w:r>
      <w:r w:rsidR="00E17278" w:rsidRPr="00AC39E8">
        <w:rPr>
          <w:szCs w:val="28"/>
        </w:rPr>
        <w:t xml:space="preserve">рассмотренных </w:t>
      </w:r>
      <w:r w:rsidR="00A91378" w:rsidRPr="00AC39E8">
        <w:rPr>
          <w:szCs w:val="28"/>
        </w:rPr>
        <w:t>заявлений</w:t>
      </w:r>
      <w:r w:rsidR="004D29AC" w:rsidRPr="00AC39E8">
        <w:rPr>
          <w:szCs w:val="28"/>
        </w:rPr>
        <w:t>.</w:t>
      </w:r>
    </w:p>
    <w:p w:rsidR="00590A5F" w:rsidRPr="00AC39E8" w:rsidRDefault="00590A5F" w:rsidP="00344CBD">
      <w:pPr>
        <w:spacing w:before="120" w:line="276" w:lineRule="auto"/>
        <w:ind w:firstLine="454"/>
        <w:jc w:val="both"/>
        <w:rPr>
          <w:szCs w:val="28"/>
        </w:rPr>
      </w:pPr>
      <w:r w:rsidRPr="00AC39E8">
        <w:rPr>
          <w:szCs w:val="28"/>
        </w:rPr>
        <w:t xml:space="preserve">Жалобы на поставщиков рынка электроснабжения и теплоснабжения составили 40% всех заявлений. </w:t>
      </w:r>
    </w:p>
    <w:p w:rsidR="00A91378" w:rsidRPr="00AC39E8" w:rsidRDefault="006E7206" w:rsidP="00344CBD">
      <w:pPr>
        <w:spacing w:before="120" w:line="276" w:lineRule="auto"/>
        <w:ind w:firstLine="454"/>
        <w:jc w:val="both"/>
        <w:rPr>
          <w:szCs w:val="28"/>
        </w:rPr>
      </w:pPr>
      <w:r w:rsidRPr="00AC39E8">
        <w:rPr>
          <w:szCs w:val="28"/>
        </w:rPr>
        <w:t>Жалобы на поставщиков услуг, относящихся к сферам естественных монополи</w:t>
      </w:r>
      <w:r w:rsidR="00E17278" w:rsidRPr="00AC39E8">
        <w:rPr>
          <w:szCs w:val="28"/>
        </w:rPr>
        <w:t>й</w:t>
      </w:r>
      <w:r w:rsidRPr="00AC39E8">
        <w:rPr>
          <w:szCs w:val="28"/>
        </w:rPr>
        <w:t xml:space="preserve">, </w:t>
      </w:r>
      <w:r w:rsidR="00590A5F" w:rsidRPr="00AC39E8">
        <w:rPr>
          <w:szCs w:val="28"/>
        </w:rPr>
        <w:t>составили</w:t>
      </w:r>
      <w:r w:rsidRPr="00AC39E8">
        <w:rPr>
          <w:szCs w:val="28"/>
        </w:rPr>
        <w:t xml:space="preserve"> четверт</w:t>
      </w:r>
      <w:r w:rsidR="00590A5F" w:rsidRPr="00AC39E8">
        <w:rPr>
          <w:szCs w:val="28"/>
        </w:rPr>
        <w:t>ую часть</w:t>
      </w:r>
      <w:r w:rsidRPr="00AC39E8">
        <w:rPr>
          <w:szCs w:val="28"/>
        </w:rPr>
        <w:t xml:space="preserve"> </w:t>
      </w:r>
      <w:r w:rsidR="00E417E4" w:rsidRPr="00AC39E8">
        <w:rPr>
          <w:szCs w:val="28"/>
        </w:rPr>
        <w:t>всех</w:t>
      </w:r>
      <w:r w:rsidRPr="00AC39E8">
        <w:rPr>
          <w:szCs w:val="28"/>
        </w:rPr>
        <w:t xml:space="preserve"> заявлений. Преимущественно жаловались на субъекты естественных монополий, действующих в сфере электроснабжения (</w:t>
      </w:r>
      <w:r w:rsidR="00E417E4" w:rsidRPr="00AC39E8">
        <w:rPr>
          <w:szCs w:val="28"/>
        </w:rPr>
        <w:t>4</w:t>
      </w:r>
      <w:r w:rsidRPr="00AC39E8">
        <w:rPr>
          <w:szCs w:val="28"/>
        </w:rPr>
        <w:t>0%) и водоснабжения-водоотведения (</w:t>
      </w:r>
      <w:r w:rsidR="00E417E4" w:rsidRPr="00AC39E8">
        <w:rPr>
          <w:szCs w:val="28"/>
        </w:rPr>
        <w:t>25%</w:t>
      </w:r>
      <w:r w:rsidRPr="00AC39E8">
        <w:rPr>
          <w:szCs w:val="28"/>
        </w:rPr>
        <w:t>).</w:t>
      </w:r>
    </w:p>
    <w:p w:rsidR="00AF0655" w:rsidRPr="00AC39E8" w:rsidRDefault="00AF0655" w:rsidP="00344CBD">
      <w:pPr>
        <w:spacing w:before="120" w:line="276" w:lineRule="auto"/>
        <w:ind w:firstLine="454"/>
        <w:jc w:val="both"/>
        <w:rPr>
          <w:szCs w:val="28"/>
        </w:rPr>
      </w:pPr>
      <w:r w:rsidRPr="00AC39E8">
        <w:rPr>
          <w:szCs w:val="28"/>
        </w:rPr>
        <w:t xml:space="preserve">При рассмотрении всех заявлений управлением дана оценка действиям хозяйствующих субъектов на предмет их соответствия требованиям статьи 10 Закона о защите конкуренции. </w:t>
      </w:r>
    </w:p>
    <w:p w:rsidR="00466FFA" w:rsidRPr="00AC39E8" w:rsidRDefault="00466FFA" w:rsidP="00344CBD">
      <w:pPr>
        <w:spacing w:before="120" w:line="276" w:lineRule="auto"/>
        <w:ind w:firstLine="454"/>
        <w:jc w:val="both"/>
        <w:rPr>
          <w:szCs w:val="28"/>
        </w:rPr>
      </w:pPr>
      <w:r w:rsidRPr="00AC39E8">
        <w:rPr>
          <w:szCs w:val="28"/>
        </w:rPr>
        <w:t>По результатам рассмотрения половины заявлений управлением принято решение об отказе в возбуждения дела о нарушении антимонопольного законодательства, поскольку в действиях поставщиков товарных рынков, в отношении которых поступило заявление, признаки нарушения антимонопольных запретов не выявлено.</w:t>
      </w:r>
    </w:p>
    <w:p w:rsidR="00466FFA" w:rsidRPr="00AC39E8" w:rsidRDefault="00466FFA" w:rsidP="00344CBD">
      <w:pPr>
        <w:spacing w:before="120" w:line="276" w:lineRule="auto"/>
        <w:ind w:firstLine="454"/>
        <w:jc w:val="both"/>
        <w:rPr>
          <w:szCs w:val="28"/>
        </w:rPr>
      </w:pPr>
      <w:r w:rsidRPr="00AC39E8">
        <w:rPr>
          <w:szCs w:val="28"/>
        </w:rPr>
        <w:t>При этом более 40% заявлений, оставлено управлением без рассмотрения по существу. Что является следствием несоответствия подаваемых в антимонопольное управление заявлений, законодательно установленным требованиям. Требования к подаваемому заявлению установлены в статье 44 Федерального закона «О защите конкуренции». Их неисполнение влечёт отказ антимонопольного органа рассматривать заявление по существу.</w:t>
      </w:r>
    </w:p>
    <w:p w:rsidR="00466FFA" w:rsidRPr="00AC39E8" w:rsidRDefault="00466FFA" w:rsidP="00344CBD">
      <w:pPr>
        <w:spacing w:before="120" w:line="276" w:lineRule="auto"/>
        <w:ind w:firstLine="454"/>
        <w:jc w:val="both"/>
        <w:rPr>
          <w:szCs w:val="28"/>
        </w:rPr>
      </w:pPr>
      <w:r w:rsidRPr="00AC39E8">
        <w:rPr>
          <w:szCs w:val="28"/>
        </w:rPr>
        <w:lastRenderedPageBreak/>
        <w:t>Порядка 10% всех заявлений граждан, на основании положений Федерального закона «О рассмотрении обращений граждан» перенаправлено на рассмотрение в органы власти, имеющие соответствующие полномочия на рассмотрение указанных в заявлениях вопросов. Преимущественно заявления перенаправлены в Государственную жилищную инспекцию Тюменской области и Управление Роспотребнадзора по Тюменской области.</w:t>
      </w:r>
    </w:p>
    <w:p w:rsidR="00D22A5D" w:rsidRPr="00AC39E8" w:rsidRDefault="004F0C21" w:rsidP="00344CBD">
      <w:pPr>
        <w:spacing w:before="120" w:line="276" w:lineRule="auto"/>
        <w:ind w:firstLine="454"/>
        <w:jc w:val="both"/>
        <w:rPr>
          <w:szCs w:val="28"/>
        </w:rPr>
      </w:pPr>
      <w:r w:rsidRPr="00AC39E8">
        <w:rPr>
          <w:szCs w:val="28"/>
        </w:rPr>
        <w:t>Необходимо отметить, что с вступлением в силу изменений, внесённых в Закон о защите конкуренции, исключающих с начала 2016 года возможность квалификации нарушения по статье 10 в отношении физических лиц (кроме неопределённого круга потребителей), количество выявляемых признаков нарушения, связанных с действиями поставщиков коммунальных ресурсов снизилось.</w:t>
      </w:r>
    </w:p>
    <w:p w:rsidR="00634CE1" w:rsidRPr="00AC39E8" w:rsidRDefault="00AF0655" w:rsidP="00344CBD">
      <w:pPr>
        <w:spacing w:before="120" w:line="276" w:lineRule="auto"/>
        <w:ind w:firstLine="454"/>
        <w:jc w:val="both"/>
        <w:rPr>
          <w:szCs w:val="28"/>
        </w:rPr>
      </w:pPr>
      <w:r w:rsidRPr="00AC39E8">
        <w:rPr>
          <w:szCs w:val="28"/>
        </w:rPr>
        <w:t>За п</w:t>
      </w:r>
      <w:r w:rsidR="00590A5F" w:rsidRPr="00AC39E8">
        <w:rPr>
          <w:szCs w:val="28"/>
        </w:rPr>
        <w:t>ерв</w:t>
      </w:r>
      <w:r w:rsidRPr="00AC39E8">
        <w:rPr>
          <w:szCs w:val="28"/>
        </w:rPr>
        <w:t>ую половину текущего года</w:t>
      </w:r>
      <w:r w:rsidR="00590A5F" w:rsidRPr="00AC39E8">
        <w:rPr>
          <w:szCs w:val="28"/>
        </w:rPr>
        <w:t xml:space="preserve"> </w:t>
      </w:r>
      <w:r w:rsidR="00CD693D" w:rsidRPr="00AC39E8">
        <w:rPr>
          <w:szCs w:val="28"/>
        </w:rPr>
        <w:t>управлением</w:t>
      </w:r>
      <w:r w:rsidR="000B62AD" w:rsidRPr="00AC39E8">
        <w:rPr>
          <w:szCs w:val="28"/>
        </w:rPr>
        <w:t xml:space="preserve"> возбуждено одно дело</w:t>
      </w:r>
      <w:r w:rsidR="00634CE1" w:rsidRPr="00AC39E8">
        <w:rPr>
          <w:szCs w:val="28"/>
        </w:rPr>
        <w:t xml:space="preserve"> по признакам  осуществления АО «Аэропорт «Рощино» монополистической деятельности на рынке аэропортовых услуг по обеспечению авиационной безопасности. Дело </w:t>
      </w:r>
      <w:r w:rsidR="000B62AD" w:rsidRPr="00AC39E8">
        <w:rPr>
          <w:szCs w:val="28"/>
        </w:rPr>
        <w:t xml:space="preserve"> </w:t>
      </w:r>
      <w:r w:rsidR="00634CE1" w:rsidRPr="00AC39E8">
        <w:rPr>
          <w:szCs w:val="28"/>
        </w:rPr>
        <w:t xml:space="preserve">было </w:t>
      </w:r>
      <w:r w:rsidR="000B62AD" w:rsidRPr="00AC39E8">
        <w:rPr>
          <w:szCs w:val="28"/>
        </w:rPr>
        <w:t>возбужд</w:t>
      </w:r>
      <w:r w:rsidR="00634CE1" w:rsidRPr="00AC39E8">
        <w:rPr>
          <w:szCs w:val="28"/>
        </w:rPr>
        <w:t>ено</w:t>
      </w:r>
      <w:r w:rsidR="000B62AD" w:rsidRPr="00AC39E8">
        <w:rPr>
          <w:szCs w:val="28"/>
        </w:rPr>
        <w:t xml:space="preserve"> по заявлению ООО «Сила вкуса»</w:t>
      </w:r>
      <w:r w:rsidR="00634CE1" w:rsidRPr="00AC39E8">
        <w:rPr>
          <w:szCs w:val="28"/>
        </w:rPr>
        <w:t xml:space="preserve"> об ущемлении его интересов как  </w:t>
      </w:r>
      <w:r w:rsidR="000B62AD" w:rsidRPr="00AC39E8">
        <w:rPr>
          <w:szCs w:val="28"/>
        </w:rPr>
        <w:t xml:space="preserve"> </w:t>
      </w:r>
      <w:r w:rsidR="00634CE1" w:rsidRPr="00AC39E8">
        <w:rPr>
          <w:szCs w:val="28"/>
        </w:rPr>
        <w:t>поставщика бортового питания авиакомпании «Сибирь».</w:t>
      </w:r>
    </w:p>
    <w:p w:rsidR="00CD2863" w:rsidRDefault="00AF0655" w:rsidP="00344CBD">
      <w:pPr>
        <w:spacing w:before="120" w:line="276" w:lineRule="auto"/>
        <w:ind w:firstLine="454"/>
        <w:jc w:val="both"/>
        <w:rPr>
          <w:szCs w:val="28"/>
        </w:rPr>
      </w:pPr>
      <w:r w:rsidRPr="00AC39E8">
        <w:rPr>
          <w:szCs w:val="28"/>
        </w:rPr>
        <w:t xml:space="preserve">Результатом </w:t>
      </w:r>
      <w:r w:rsidR="00CD2863">
        <w:rPr>
          <w:szCs w:val="28"/>
        </w:rPr>
        <w:t xml:space="preserve">проделанной </w:t>
      </w:r>
      <w:r w:rsidRPr="00AC39E8">
        <w:rPr>
          <w:szCs w:val="28"/>
        </w:rPr>
        <w:t>Управлени</w:t>
      </w:r>
      <w:r w:rsidR="00CD2863">
        <w:rPr>
          <w:szCs w:val="28"/>
        </w:rPr>
        <w:t>ем работы</w:t>
      </w:r>
      <w:r w:rsidRPr="00AC39E8">
        <w:rPr>
          <w:szCs w:val="28"/>
        </w:rPr>
        <w:t xml:space="preserve"> </w:t>
      </w:r>
      <w:r w:rsidR="00CD2863" w:rsidRPr="00AC39E8">
        <w:rPr>
          <w:szCs w:val="28"/>
        </w:rPr>
        <w:t xml:space="preserve">в первом полугодии </w:t>
      </w:r>
      <w:r w:rsidRPr="00AC39E8">
        <w:rPr>
          <w:szCs w:val="28"/>
        </w:rPr>
        <w:t>является</w:t>
      </w:r>
      <w:r w:rsidR="00634CE1" w:rsidRPr="00AC39E8">
        <w:rPr>
          <w:szCs w:val="28"/>
        </w:rPr>
        <w:t xml:space="preserve"> </w:t>
      </w:r>
      <w:r w:rsidR="00590A5F" w:rsidRPr="00AC39E8">
        <w:rPr>
          <w:szCs w:val="28"/>
        </w:rPr>
        <w:t>завершен</w:t>
      </w:r>
      <w:r w:rsidRPr="00AC39E8">
        <w:rPr>
          <w:szCs w:val="28"/>
        </w:rPr>
        <w:t>ие</w:t>
      </w:r>
      <w:r w:rsidR="00590A5F" w:rsidRPr="00AC39E8">
        <w:rPr>
          <w:szCs w:val="28"/>
        </w:rPr>
        <w:t xml:space="preserve"> рассмотрени</w:t>
      </w:r>
      <w:r w:rsidRPr="00AC39E8">
        <w:rPr>
          <w:szCs w:val="28"/>
        </w:rPr>
        <w:t>я</w:t>
      </w:r>
      <w:r w:rsidR="00590A5F" w:rsidRPr="00AC39E8">
        <w:rPr>
          <w:szCs w:val="28"/>
        </w:rPr>
        <w:t xml:space="preserve"> трёх </w:t>
      </w:r>
      <w:r w:rsidR="00FD747B" w:rsidRPr="00AC39E8">
        <w:rPr>
          <w:szCs w:val="28"/>
        </w:rPr>
        <w:t>дел</w:t>
      </w:r>
      <w:r w:rsidR="00590A5F" w:rsidRPr="00AC39E8">
        <w:rPr>
          <w:szCs w:val="28"/>
        </w:rPr>
        <w:t>, возбуждённых</w:t>
      </w:r>
      <w:r w:rsidR="00FD747B" w:rsidRPr="00AC39E8">
        <w:rPr>
          <w:szCs w:val="28"/>
        </w:rPr>
        <w:t xml:space="preserve"> по признакам нарушения статьи 10 ФЗ «О защите конкуренции»</w:t>
      </w:r>
      <w:r w:rsidR="00634CE1" w:rsidRPr="00AC39E8">
        <w:rPr>
          <w:szCs w:val="28"/>
        </w:rPr>
        <w:t>. Возбуждённые дела явились результатом</w:t>
      </w:r>
      <w:r w:rsidR="00FD747B" w:rsidRPr="00AC39E8">
        <w:rPr>
          <w:szCs w:val="28"/>
        </w:rPr>
        <w:t xml:space="preserve"> рассмотрения </w:t>
      </w:r>
      <w:r w:rsidR="00634CE1" w:rsidRPr="00AC39E8">
        <w:rPr>
          <w:szCs w:val="28"/>
        </w:rPr>
        <w:t xml:space="preserve">поступивших </w:t>
      </w:r>
      <w:r w:rsidR="00FD747B" w:rsidRPr="00AC39E8">
        <w:rPr>
          <w:szCs w:val="28"/>
        </w:rPr>
        <w:t>заявлений</w:t>
      </w:r>
      <w:r w:rsidR="00EC102A" w:rsidRPr="00AC39E8">
        <w:rPr>
          <w:szCs w:val="28"/>
        </w:rPr>
        <w:t>.</w:t>
      </w:r>
      <w:r w:rsidR="00A64961" w:rsidRPr="00AC39E8">
        <w:rPr>
          <w:szCs w:val="28"/>
        </w:rPr>
        <w:t xml:space="preserve"> </w:t>
      </w:r>
    </w:p>
    <w:p w:rsidR="007E0B55" w:rsidRPr="00AC39E8" w:rsidRDefault="00CD2863" w:rsidP="00344CBD">
      <w:pPr>
        <w:spacing w:before="120" w:line="276" w:lineRule="auto"/>
        <w:ind w:firstLine="454"/>
        <w:jc w:val="both"/>
        <w:rPr>
          <w:szCs w:val="28"/>
        </w:rPr>
      </w:pPr>
      <w:r>
        <w:rPr>
          <w:szCs w:val="28"/>
        </w:rPr>
        <w:t xml:space="preserve">По итогам рассмотрения двух дел Управлением были сделаны выводы о наличии в </w:t>
      </w:r>
      <w:r w:rsidRPr="00AC39E8">
        <w:rPr>
          <w:szCs w:val="28"/>
        </w:rPr>
        <w:t>действиях поставщика природного газа (ООО «Газпром межрегионгаз Север»), осуществляющего поставку коммунального ресурса для крышных котельных многоквартирн</w:t>
      </w:r>
      <w:r>
        <w:rPr>
          <w:szCs w:val="28"/>
        </w:rPr>
        <w:t>ых</w:t>
      </w:r>
      <w:r w:rsidRPr="00AC39E8">
        <w:rPr>
          <w:szCs w:val="28"/>
        </w:rPr>
        <w:t xml:space="preserve"> дом</w:t>
      </w:r>
      <w:r>
        <w:rPr>
          <w:szCs w:val="28"/>
        </w:rPr>
        <w:t xml:space="preserve">ов, </w:t>
      </w:r>
      <w:r w:rsidRPr="00AC39E8">
        <w:rPr>
          <w:szCs w:val="28"/>
        </w:rPr>
        <w:t>нарушени</w:t>
      </w:r>
      <w:r>
        <w:rPr>
          <w:szCs w:val="28"/>
        </w:rPr>
        <w:t>я</w:t>
      </w:r>
      <w:r w:rsidRPr="00AC39E8">
        <w:rPr>
          <w:szCs w:val="28"/>
        </w:rPr>
        <w:t xml:space="preserve"> антимонопольных запретов</w:t>
      </w:r>
      <w:r>
        <w:rPr>
          <w:szCs w:val="28"/>
        </w:rPr>
        <w:t>.</w:t>
      </w:r>
      <w:r w:rsidRPr="00AC39E8">
        <w:rPr>
          <w:szCs w:val="28"/>
        </w:rPr>
        <w:t xml:space="preserve"> </w:t>
      </w:r>
    </w:p>
    <w:p w:rsidR="007E0B55" w:rsidRPr="00AC39E8" w:rsidRDefault="007E0B55" w:rsidP="00344CBD">
      <w:pPr>
        <w:spacing w:before="120" w:line="276" w:lineRule="auto"/>
        <w:ind w:firstLine="454"/>
        <w:jc w:val="both"/>
        <w:rPr>
          <w:szCs w:val="28"/>
        </w:rPr>
      </w:pPr>
      <w:r w:rsidRPr="00AC39E8">
        <w:rPr>
          <w:szCs w:val="28"/>
        </w:rPr>
        <w:t>Рассмотрение третьего дела завершилось принятием решения, о нарушении поставщиком рынка услуг автовокзалов (ГБУ  Тюменской области  «Объединение Автовокзалов и автостанций») запрета на дискриминацию иных лиц.</w:t>
      </w:r>
    </w:p>
    <w:p w:rsidR="000B62AD" w:rsidRPr="00AC39E8" w:rsidRDefault="00634CE1" w:rsidP="00344CBD">
      <w:pPr>
        <w:spacing w:before="120" w:line="276" w:lineRule="auto"/>
        <w:ind w:firstLine="454"/>
        <w:jc w:val="both"/>
        <w:rPr>
          <w:szCs w:val="28"/>
        </w:rPr>
      </w:pPr>
      <w:r w:rsidRPr="00AC39E8">
        <w:rPr>
          <w:szCs w:val="28"/>
        </w:rPr>
        <w:t>Всем ответчикам по рассмотренным  делам</w:t>
      </w:r>
      <w:r w:rsidR="000B62AD" w:rsidRPr="00AC39E8">
        <w:rPr>
          <w:szCs w:val="28"/>
        </w:rPr>
        <w:t xml:space="preserve"> </w:t>
      </w:r>
      <w:r w:rsidRPr="00AC39E8">
        <w:rPr>
          <w:szCs w:val="28"/>
        </w:rPr>
        <w:t xml:space="preserve">были </w:t>
      </w:r>
      <w:r w:rsidR="000B62AD" w:rsidRPr="00AC39E8">
        <w:rPr>
          <w:szCs w:val="28"/>
        </w:rPr>
        <w:t xml:space="preserve">выданы </w:t>
      </w:r>
      <w:r w:rsidR="00EC102A" w:rsidRPr="0041540E">
        <w:rPr>
          <w:szCs w:val="28"/>
        </w:rPr>
        <w:t>предписани</w:t>
      </w:r>
      <w:r w:rsidR="00B63C90" w:rsidRPr="0041540E">
        <w:rPr>
          <w:szCs w:val="28"/>
        </w:rPr>
        <w:t>я</w:t>
      </w:r>
      <w:r w:rsidR="00EC102A" w:rsidRPr="0041540E">
        <w:rPr>
          <w:szCs w:val="28"/>
        </w:rPr>
        <w:t xml:space="preserve"> о</w:t>
      </w:r>
      <w:r w:rsidR="00EC102A" w:rsidRPr="00AC39E8">
        <w:rPr>
          <w:szCs w:val="28"/>
        </w:rPr>
        <w:t xml:space="preserve"> прекращении нарушения и совершении действий</w:t>
      </w:r>
      <w:r w:rsidR="00DC3607" w:rsidRPr="00AC39E8">
        <w:rPr>
          <w:szCs w:val="28"/>
        </w:rPr>
        <w:t>,</w:t>
      </w:r>
      <w:r w:rsidR="00EC102A" w:rsidRPr="00AC39E8">
        <w:rPr>
          <w:szCs w:val="28"/>
        </w:rPr>
        <w:t xml:space="preserve"> направленных на устранение нарушения</w:t>
      </w:r>
      <w:r w:rsidR="00DC3607" w:rsidRPr="00AC39E8">
        <w:rPr>
          <w:szCs w:val="28"/>
        </w:rPr>
        <w:t xml:space="preserve"> антимонопольного законодательства</w:t>
      </w:r>
      <w:r w:rsidR="002E2AB1" w:rsidRPr="00AC39E8">
        <w:rPr>
          <w:szCs w:val="28"/>
        </w:rPr>
        <w:t xml:space="preserve">. </w:t>
      </w:r>
      <w:r w:rsidR="00A64961" w:rsidRPr="00AC39E8">
        <w:rPr>
          <w:szCs w:val="28"/>
        </w:rPr>
        <w:t xml:space="preserve">Таким образом, в результате исполнения выданных управлением по результатам рассмотрения дел предписаний </w:t>
      </w:r>
      <w:r w:rsidR="007E0B55" w:rsidRPr="00AC39E8">
        <w:rPr>
          <w:szCs w:val="28"/>
        </w:rPr>
        <w:t xml:space="preserve">должны быть </w:t>
      </w:r>
      <w:r w:rsidR="00A64961" w:rsidRPr="00AC39E8">
        <w:rPr>
          <w:szCs w:val="28"/>
        </w:rPr>
        <w:t>устранены нарушения антимонопольного законодательства в сфере газоснабжения</w:t>
      </w:r>
      <w:r w:rsidR="000B62AD" w:rsidRPr="00AC39E8">
        <w:rPr>
          <w:szCs w:val="28"/>
        </w:rPr>
        <w:t xml:space="preserve">, а также </w:t>
      </w:r>
      <w:r w:rsidR="007E0B55" w:rsidRPr="00AC39E8">
        <w:rPr>
          <w:szCs w:val="28"/>
        </w:rPr>
        <w:t xml:space="preserve">на рынке </w:t>
      </w:r>
      <w:r w:rsidR="000B62AD" w:rsidRPr="00AC39E8">
        <w:rPr>
          <w:szCs w:val="28"/>
        </w:rPr>
        <w:t xml:space="preserve">услуг автовокзалов, оказываемых предприятиям, осуществляющих регулярные пассажирские перевозки пассажиров и багажа. </w:t>
      </w:r>
    </w:p>
    <w:p w:rsidR="00AF0655" w:rsidRPr="00AC39E8" w:rsidRDefault="00AF0655" w:rsidP="00344CBD">
      <w:pPr>
        <w:autoSpaceDE w:val="0"/>
        <w:autoSpaceDN w:val="0"/>
        <w:adjustRightInd w:val="0"/>
        <w:spacing w:before="120" w:line="276" w:lineRule="auto"/>
        <w:ind w:firstLine="454"/>
        <w:jc w:val="both"/>
        <w:rPr>
          <w:szCs w:val="28"/>
        </w:rPr>
      </w:pPr>
      <w:r w:rsidRPr="00AC39E8">
        <w:rPr>
          <w:szCs w:val="28"/>
        </w:rPr>
        <w:t>В настоящее время идёт процесс судебного обжалования принятых Управлением решений и выданных предписаний.</w:t>
      </w:r>
    </w:p>
    <w:p w:rsidR="00FE6917" w:rsidRPr="00AC39E8" w:rsidRDefault="00AF0655" w:rsidP="00344CBD">
      <w:pPr>
        <w:spacing w:before="120" w:line="276" w:lineRule="auto"/>
        <w:ind w:firstLine="454"/>
        <w:jc w:val="both"/>
        <w:rPr>
          <w:szCs w:val="28"/>
        </w:rPr>
      </w:pPr>
      <w:r w:rsidRPr="00AC39E8">
        <w:rPr>
          <w:szCs w:val="28"/>
        </w:rPr>
        <w:t xml:space="preserve">За нарушение антимонопольных запретов, </w:t>
      </w:r>
      <w:r w:rsidR="0041540E">
        <w:rPr>
          <w:szCs w:val="28"/>
        </w:rPr>
        <w:t xml:space="preserve">для </w:t>
      </w:r>
      <w:r w:rsidRPr="00AC39E8">
        <w:rPr>
          <w:szCs w:val="28"/>
        </w:rPr>
        <w:t>хозяйствующи</w:t>
      </w:r>
      <w:r w:rsidR="0041540E">
        <w:rPr>
          <w:szCs w:val="28"/>
        </w:rPr>
        <w:t>х</w:t>
      </w:r>
      <w:r w:rsidRPr="00AC39E8">
        <w:rPr>
          <w:szCs w:val="28"/>
        </w:rPr>
        <w:t xml:space="preserve"> субъект</w:t>
      </w:r>
      <w:r w:rsidR="0041540E">
        <w:rPr>
          <w:szCs w:val="28"/>
        </w:rPr>
        <w:t>ов</w:t>
      </w:r>
      <w:r w:rsidRPr="00AC39E8">
        <w:rPr>
          <w:szCs w:val="28"/>
        </w:rPr>
        <w:t xml:space="preserve"> установлена административная ответственность. </w:t>
      </w:r>
    </w:p>
    <w:p w:rsidR="00FE6917" w:rsidRPr="00AC39E8" w:rsidRDefault="0041540E" w:rsidP="00344CBD">
      <w:pPr>
        <w:spacing w:before="120" w:line="276" w:lineRule="auto"/>
        <w:ind w:firstLine="454"/>
        <w:jc w:val="both"/>
        <w:rPr>
          <w:szCs w:val="28"/>
        </w:rPr>
      </w:pPr>
      <w:r>
        <w:rPr>
          <w:szCs w:val="28"/>
        </w:rPr>
        <w:t xml:space="preserve">В связи с чем, </w:t>
      </w:r>
      <w:r w:rsidR="00FE6917" w:rsidRPr="00AC39E8">
        <w:rPr>
          <w:szCs w:val="28"/>
        </w:rPr>
        <w:t>ГБУТО «Объединение Автовокзалов и автостанций» и его директор (должностное лицо) привлечены к административной ответственности по ч.1 ст.14.31 в вид</w:t>
      </w:r>
      <w:r w:rsidR="00B36ACA">
        <w:rPr>
          <w:szCs w:val="28"/>
        </w:rPr>
        <w:t>е</w:t>
      </w:r>
      <w:r w:rsidR="00FE6917" w:rsidRPr="00AC39E8">
        <w:rPr>
          <w:szCs w:val="28"/>
        </w:rPr>
        <w:t xml:space="preserve"> штрафа в размере 650 и 15 тыс</w:t>
      </w:r>
      <w:r>
        <w:rPr>
          <w:szCs w:val="28"/>
        </w:rPr>
        <w:t>.</w:t>
      </w:r>
      <w:r w:rsidR="00FE6917" w:rsidRPr="00AC39E8">
        <w:rPr>
          <w:szCs w:val="28"/>
        </w:rPr>
        <w:t xml:space="preserve">рублей соответственно. Процедура привлечения ООО «Газпром Межрегионгаз Север» к административной ответственности за злоупотребление доминирующим положением на товарном рынке в настоящее время </w:t>
      </w:r>
      <w:r>
        <w:rPr>
          <w:szCs w:val="28"/>
        </w:rPr>
        <w:t>находится в подготовительной стадии.</w:t>
      </w:r>
      <w:r w:rsidR="00FE6917" w:rsidRPr="00AC39E8">
        <w:rPr>
          <w:szCs w:val="28"/>
        </w:rPr>
        <w:t xml:space="preserve"> </w:t>
      </w:r>
    </w:p>
    <w:p w:rsidR="00C07D7F" w:rsidRPr="00AC39E8" w:rsidRDefault="00C07D7F" w:rsidP="00344CBD">
      <w:pPr>
        <w:autoSpaceDE w:val="0"/>
        <w:autoSpaceDN w:val="0"/>
        <w:adjustRightInd w:val="0"/>
        <w:spacing w:before="120" w:line="276" w:lineRule="auto"/>
        <w:ind w:firstLine="454"/>
        <w:jc w:val="both"/>
        <w:rPr>
          <w:szCs w:val="28"/>
        </w:rPr>
      </w:pPr>
      <w:r w:rsidRPr="00AC39E8">
        <w:rPr>
          <w:szCs w:val="28"/>
        </w:rPr>
        <w:t xml:space="preserve">За истекшее полугодие к административной ответственности </w:t>
      </w:r>
      <w:r w:rsidR="004A3E9E" w:rsidRPr="00AC39E8">
        <w:rPr>
          <w:szCs w:val="28"/>
        </w:rPr>
        <w:t xml:space="preserve">по ст.14.31 КоАП РФ </w:t>
      </w:r>
      <w:r w:rsidRPr="00AC39E8">
        <w:rPr>
          <w:szCs w:val="28"/>
        </w:rPr>
        <w:t>за злоупотребление доминированием</w:t>
      </w:r>
      <w:r w:rsidR="004A3E9E" w:rsidRPr="00AC39E8">
        <w:rPr>
          <w:szCs w:val="28"/>
        </w:rPr>
        <w:t xml:space="preserve">, совершенное в 2016 году, </w:t>
      </w:r>
      <w:r w:rsidRPr="00AC39E8">
        <w:rPr>
          <w:szCs w:val="28"/>
        </w:rPr>
        <w:t xml:space="preserve">привлечены </w:t>
      </w:r>
      <w:r w:rsidR="004A3E9E" w:rsidRPr="00AC39E8">
        <w:rPr>
          <w:szCs w:val="28"/>
        </w:rPr>
        <w:t>четыре</w:t>
      </w:r>
      <w:r w:rsidRPr="00AC39E8">
        <w:rPr>
          <w:szCs w:val="28"/>
        </w:rPr>
        <w:t xml:space="preserve"> хозяйствующих субъекта и их должностные лица</w:t>
      </w:r>
      <w:r w:rsidR="004A3E9E" w:rsidRPr="00AC39E8">
        <w:rPr>
          <w:szCs w:val="28"/>
        </w:rPr>
        <w:t xml:space="preserve"> (ООО "Паритет", ООО "Ремэнергостройсервис", ООО "Тюмень Водоканал", ОАО "НПО "Нефтепроммаш")</w:t>
      </w:r>
      <w:r w:rsidRPr="00AC39E8">
        <w:rPr>
          <w:szCs w:val="28"/>
        </w:rPr>
        <w:t>.</w:t>
      </w:r>
      <w:r w:rsidR="002A4C47">
        <w:rPr>
          <w:szCs w:val="28"/>
        </w:rPr>
        <w:t xml:space="preserve"> </w:t>
      </w:r>
      <w:r w:rsidRPr="00AC39E8">
        <w:rPr>
          <w:szCs w:val="28"/>
        </w:rPr>
        <w:t xml:space="preserve">Общая сумма штрафа, </w:t>
      </w:r>
      <w:r w:rsidR="0041540E">
        <w:rPr>
          <w:szCs w:val="28"/>
        </w:rPr>
        <w:t>наложенная на хозяйствующие субъекты</w:t>
      </w:r>
      <w:r w:rsidRPr="00AC39E8">
        <w:rPr>
          <w:szCs w:val="28"/>
        </w:rPr>
        <w:t xml:space="preserve"> </w:t>
      </w:r>
      <w:r w:rsidR="0041540E">
        <w:rPr>
          <w:szCs w:val="28"/>
        </w:rPr>
        <w:t xml:space="preserve">за злоупотреблением доминированием на товарных и финансовых рынках в первом полугодии, </w:t>
      </w:r>
      <w:r w:rsidRPr="00AC39E8">
        <w:rPr>
          <w:szCs w:val="28"/>
        </w:rPr>
        <w:t>составила 4,236 млн. рубле. В том числе</w:t>
      </w:r>
      <w:r w:rsidR="002A4C47">
        <w:rPr>
          <w:szCs w:val="28"/>
        </w:rPr>
        <w:t>,</w:t>
      </w:r>
      <w:r w:rsidRPr="00AC39E8">
        <w:rPr>
          <w:szCs w:val="28"/>
        </w:rPr>
        <w:t xml:space="preserve"> </w:t>
      </w:r>
      <w:r w:rsidR="0041540E">
        <w:rPr>
          <w:szCs w:val="28"/>
        </w:rPr>
        <w:t>размер ш</w:t>
      </w:r>
      <w:r w:rsidR="0041540E" w:rsidRPr="00AC39E8">
        <w:rPr>
          <w:szCs w:val="28"/>
        </w:rPr>
        <w:t>трафны</w:t>
      </w:r>
      <w:r w:rsidR="0041540E">
        <w:rPr>
          <w:szCs w:val="28"/>
        </w:rPr>
        <w:t>х</w:t>
      </w:r>
      <w:r w:rsidR="0041540E" w:rsidRPr="00AC39E8">
        <w:rPr>
          <w:szCs w:val="28"/>
        </w:rPr>
        <w:t xml:space="preserve"> санкци</w:t>
      </w:r>
      <w:r w:rsidR="0041540E">
        <w:rPr>
          <w:szCs w:val="28"/>
        </w:rPr>
        <w:t>й</w:t>
      </w:r>
      <w:r w:rsidR="0041540E" w:rsidRPr="00AC39E8">
        <w:rPr>
          <w:szCs w:val="28"/>
        </w:rPr>
        <w:t xml:space="preserve">, </w:t>
      </w:r>
      <w:r w:rsidR="002A4C47">
        <w:rPr>
          <w:szCs w:val="28"/>
        </w:rPr>
        <w:t>применённых к</w:t>
      </w:r>
      <w:r w:rsidR="0041540E" w:rsidRPr="00AC39E8">
        <w:rPr>
          <w:szCs w:val="28"/>
        </w:rPr>
        <w:t xml:space="preserve"> субъект</w:t>
      </w:r>
      <w:r w:rsidR="002A4C47">
        <w:rPr>
          <w:szCs w:val="28"/>
        </w:rPr>
        <w:t>ам</w:t>
      </w:r>
      <w:r w:rsidR="0041540E" w:rsidRPr="00AC39E8">
        <w:rPr>
          <w:szCs w:val="28"/>
        </w:rPr>
        <w:t xml:space="preserve"> естественной монополии</w:t>
      </w:r>
      <w:r w:rsidR="0041540E">
        <w:rPr>
          <w:szCs w:val="28"/>
        </w:rPr>
        <w:t>,</w:t>
      </w:r>
      <w:r w:rsidR="0041540E" w:rsidRPr="00AC39E8">
        <w:rPr>
          <w:szCs w:val="28"/>
        </w:rPr>
        <w:t xml:space="preserve"> составил </w:t>
      </w:r>
      <w:r w:rsidRPr="00AC39E8">
        <w:rPr>
          <w:szCs w:val="28"/>
        </w:rPr>
        <w:t>3,486 млн. рублей</w:t>
      </w:r>
      <w:r w:rsidR="0041540E">
        <w:rPr>
          <w:szCs w:val="28"/>
        </w:rPr>
        <w:t>.</w:t>
      </w:r>
      <w:r w:rsidRPr="00AC39E8">
        <w:rPr>
          <w:szCs w:val="28"/>
        </w:rPr>
        <w:t xml:space="preserve"> </w:t>
      </w:r>
    </w:p>
    <w:p w:rsidR="00BA3B08" w:rsidRPr="00AC39E8" w:rsidRDefault="002102AB" w:rsidP="00344CBD">
      <w:pPr>
        <w:autoSpaceDE w:val="0"/>
        <w:autoSpaceDN w:val="0"/>
        <w:adjustRightInd w:val="0"/>
        <w:spacing w:before="120" w:line="276" w:lineRule="auto"/>
        <w:ind w:firstLine="454"/>
        <w:jc w:val="both"/>
        <w:rPr>
          <w:szCs w:val="28"/>
        </w:rPr>
      </w:pPr>
      <w:r w:rsidRPr="00AC39E8">
        <w:rPr>
          <w:szCs w:val="28"/>
        </w:rPr>
        <w:t>Необходимо отметить, что в</w:t>
      </w:r>
      <w:r w:rsidR="008824F7" w:rsidRPr="00AC39E8">
        <w:rPr>
          <w:szCs w:val="28"/>
        </w:rPr>
        <w:t xml:space="preserve"> мае текущего года уплатой штрафа в размере 7,24 млн. рублей завершилось процедура привлечения АО «Золотые луга» к административной ответственности за нарушение хозяйствующим субъектом антимонопольного законодательства.  Дело о нарушении ст.10 Федерального закона «О защите конкуренции» было возбуждено управлением ещё в 2015 году</w:t>
      </w:r>
      <w:r w:rsidR="00BA3B08" w:rsidRPr="00AC39E8">
        <w:rPr>
          <w:szCs w:val="28"/>
        </w:rPr>
        <w:t xml:space="preserve">. Молокоперерабатывающий комбинат (АО «Золотые луга»), доминируя на рынке Тюменской области (без автономных округов), в качестве покупателя молочного сырья, при установлении закупочных цен создало дискриминационные условия для поставщиков сырья, что привело (могло привести) к ограничению конкуренции на рынке закупки сырого молока и к ущемлению интересов поставщиков сырья (сельхозпроизводителей). </w:t>
      </w:r>
    </w:p>
    <w:p w:rsidR="00AF0655" w:rsidRPr="00AC39E8" w:rsidRDefault="00B37596" w:rsidP="00344CBD">
      <w:pPr>
        <w:autoSpaceDE w:val="0"/>
        <w:autoSpaceDN w:val="0"/>
        <w:adjustRightInd w:val="0"/>
        <w:spacing w:before="120" w:line="276" w:lineRule="auto"/>
        <w:ind w:firstLine="454"/>
        <w:jc w:val="both"/>
        <w:rPr>
          <w:szCs w:val="28"/>
        </w:rPr>
      </w:pPr>
      <w:r w:rsidRPr="00AC39E8">
        <w:rPr>
          <w:szCs w:val="28"/>
        </w:rPr>
        <w:t xml:space="preserve"> </w:t>
      </w:r>
      <w:r w:rsidR="0073039F" w:rsidRPr="00AC39E8">
        <w:rPr>
          <w:szCs w:val="28"/>
        </w:rPr>
        <w:t>Далее прив</w:t>
      </w:r>
      <w:r w:rsidR="000478BD" w:rsidRPr="00AC39E8">
        <w:rPr>
          <w:szCs w:val="28"/>
        </w:rPr>
        <w:t>едено</w:t>
      </w:r>
      <w:r w:rsidR="0073039F" w:rsidRPr="00AC39E8">
        <w:rPr>
          <w:szCs w:val="28"/>
        </w:rPr>
        <w:t xml:space="preserve"> описание дел о нарушении статьи 10 Федерального закона «О защите конкуренции» рассмотренных управлением в первом полугодии 2017 года.</w:t>
      </w:r>
    </w:p>
    <w:p w:rsidR="00AF0655" w:rsidRPr="00AC39E8" w:rsidRDefault="00E42ABC" w:rsidP="00344CBD">
      <w:pPr>
        <w:autoSpaceDE w:val="0"/>
        <w:autoSpaceDN w:val="0"/>
        <w:adjustRightInd w:val="0"/>
        <w:spacing w:before="120" w:line="276" w:lineRule="auto"/>
        <w:ind w:firstLine="454"/>
        <w:jc w:val="both"/>
        <w:rPr>
          <w:szCs w:val="28"/>
        </w:rPr>
      </w:pPr>
      <w:r w:rsidRPr="00344CBD">
        <w:rPr>
          <w:szCs w:val="28"/>
        </w:rPr>
        <w:t>Два аналогичных дела</w:t>
      </w:r>
      <w:r w:rsidR="0073039F" w:rsidRPr="00344CBD">
        <w:rPr>
          <w:szCs w:val="28"/>
        </w:rPr>
        <w:t xml:space="preserve"> </w:t>
      </w:r>
      <w:r w:rsidR="0073039F" w:rsidRPr="00AC39E8">
        <w:rPr>
          <w:szCs w:val="28"/>
          <w:u w:val="single"/>
        </w:rPr>
        <w:t xml:space="preserve">К16/83-10 и К16/84-10 </w:t>
      </w:r>
      <w:r w:rsidR="0073039F" w:rsidRPr="00AC39E8">
        <w:rPr>
          <w:szCs w:val="28"/>
        </w:rPr>
        <w:t xml:space="preserve">были возбуждены по заявлениям </w:t>
      </w:r>
      <w:r w:rsidR="00E04F4D" w:rsidRPr="00E04F4D">
        <w:rPr>
          <w:rFonts w:eastAsia="Calibri"/>
          <w:szCs w:val="28"/>
          <w:lang w:eastAsia="en-US"/>
        </w:rPr>
        <w:t xml:space="preserve">ООО «Тюменский ДВОРиК» </w:t>
      </w:r>
      <w:r w:rsidR="0073039F" w:rsidRPr="00AC39E8">
        <w:rPr>
          <w:szCs w:val="28"/>
        </w:rPr>
        <w:t>на действия ООО «Газпром межрегионгаз Север», выразившиеся в направлении уведомления о введении ограничения на поставку природного газа для крышных котельных двух многоквартирных домов.</w:t>
      </w:r>
    </w:p>
    <w:p w:rsidR="00E04F4D" w:rsidRPr="00AC39E8" w:rsidRDefault="00E04F4D" w:rsidP="00344CBD">
      <w:pPr>
        <w:autoSpaceDE w:val="0"/>
        <w:autoSpaceDN w:val="0"/>
        <w:adjustRightInd w:val="0"/>
        <w:spacing w:before="120" w:line="276" w:lineRule="auto"/>
        <w:ind w:firstLine="454"/>
        <w:jc w:val="both"/>
        <w:rPr>
          <w:szCs w:val="28"/>
        </w:rPr>
      </w:pPr>
      <w:r w:rsidRPr="00AC39E8">
        <w:rPr>
          <w:szCs w:val="28"/>
        </w:rPr>
        <w:t>ООО «Тюменский ДВОРиК» приобретает коммунальный ресурс – газ по заключённому с ООО «Газпром межрегионгаз Север» договору поставки газа с целью оказания коммунальных услуг, а именно – отопления и горячего водоснабжения жителям данного многоквартирного дома.</w:t>
      </w:r>
    </w:p>
    <w:p w:rsidR="00E04F4D" w:rsidRPr="00E04F4D" w:rsidRDefault="00E04F4D" w:rsidP="00344CBD">
      <w:pPr>
        <w:spacing w:before="120" w:line="276" w:lineRule="auto"/>
        <w:ind w:firstLine="454"/>
        <w:jc w:val="both"/>
        <w:rPr>
          <w:rFonts w:eastAsia="Calibri"/>
          <w:szCs w:val="28"/>
          <w:lang w:eastAsia="en-US"/>
        </w:rPr>
      </w:pPr>
      <w:r w:rsidRPr="00AC39E8">
        <w:rPr>
          <w:rFonts w:eastAsia="Calibri"/>
          <w:szCs w:val="28"/>
          <w:lang w:eastAsia="en-US"/>
        </w:rPr>
        <w:t>В</w:t>
      </w:r>
      <w:r w:rsidRPr="00E04F4D">
        <w:rPr>
          <w:rFonts w:eastAsia="Calibri"/>
          <w:szCs w:val="28"/>
          <w:lang w:eastAsia="en-US"/>
        </w:rPr>
        <w:t xml:space="preserve"> адрес ООО «Тюменский ДВОРиК» от ООО «Газпром межрегионгаз Север» поступило уведомление об ограничении поставки газа на крышную котельную многоквартирного дома, в связи с нарушением условий оплаты за поставленный газ.</w:t>
      </w:r>
    </w:p>
    <w:p w:rsidR="00E42ABC" w:rsidRDefault="00E42ABC" w:rsidP="00344CBD">
      <w:pPr>
        <w:autoSpaceDE w:val="0"/>
        <w:autoSpaceDN w:val="0"/>
        <w:adjustRightInd w:val="0"/>
        <w:spacing w:before="120" w:line="276" w:lineRule="auto"/>
        <w:ind w:firstLine="454"/>
        <w:jc w:val="both"/>
        <w:rPr>
          <w:rFonts w:eastAsia="Calibri"/>
          <w:bCs/>
          <w:szCs w:val="28"/>
          <w:lang w:eastAsia="en-US"/>
        </w:rPr>
      </w:pPr>
      <w:r w:rsidRPr="00AC39E8">
        <w:rPr>
          <w:rFonts w:eastAsia="Calibri"/>
          <w:szCs w:val="28"/>
          <w:lang w:eastAsia="en-US"/>
        </w:rPr>
        <w:t xml:space="preserve">Поставщиком природного газа </w:t>
      </w:r>
      <w:r>
        <w:rPr>
          <w:rFonts w:eastAsia="Calibri"/>
          <w:szCs w:val="28"/>
          <w:lang w:eastAsia="en-US"/>
        </w:rPr>
        <w:t xml:space="preserve">при этом </w:t>
      </w:r>
      <w:r w:rsidRPr="00AC39E8">
        <w:rPr>
          <w:rFonts w:eastAsia="Calibri"/>
          <w:szCs w:val="28"/>
          <w:lang w:eastAsia="en-US"/>
        </w:rPr>
        <w:t xml:space="preserve">был нарушен </w:t>
      </w:r>
      <w:r w:rsidRPr="00AC39E8">
        <w:rPr>
          <w:rFonts w:eastAsia="Calibri"/>
          <w:bCs/>
          <w:szCs w:val="28"/>
          <w:lang w:eastAsia="en-US"/>
        </w:rPr>
        <w:t>порядок и сроки направления предупреждения о введении ограничения поставки газа для крышной котельной многоквартирного жилого дома, что</w:t>
      </w:r>
      <w:r w:rsidRPr="00AC39E8">
        <w:rPr>
          <w:szCs w:val="28"/>
        </w:rPr>
        <w:t xml:space="preserve"> фактически лишило Управляющую компанию возможности оплатить задолженность в установленный нормативно-правовыми актами срок.</w:t>
      </w:r>
    </w:p>
    <w:p w:rsidR="00E42ABC" w:rsidRPr="00AC39E8" w:rsidRDefault="00E04F4D" w:rsidP="00344CBD">
      <w:pPr>
        <w:autoSpaceDE w:val="0"/>
        <w:autoSpaceDN w:val="0"/>
        <w:adjustRightInd w:val="0"/>
        <w:spacing w:before="120" w:line="276" w:lineRule="auto"/>
        <w:ind w:firstLine="454"/>
        <w:jc w:val="both"/>
        <w:rPr>
          <w:rFonts w:eastAsia="Calibri"/>
          <w:bCs/>
          <w:szCs w:val="28"/>
          <w:lang w:eastAsia="en-US"/>
        </w:rPr>
      </w:pPr>
      <w:r w:rsidRPr="00AC39E8">
        <w:rPr>
          <w:rFonts w:eastAsia="Calibri"/>
          <w:bCs/>
          <w:szCs w:val="28"/>
          <w:lang w:eastAsia="en-US"/>
        </w:rPr>
        <w:t xml:space="preserve">Направив предупреждение об ограничении поставки газа с нарушением установленного срока, а также установив пломбы на подводящем газопроводе, ООО «Газпром межрегионгаз Север», совершило действия, которые привели </w:t>
      </w:r>
      <w:r w:rsidR="00E42ABC">
        <w:rPr>
          <w:rFonts w:eastAsia="Calibri"/>
          <w:bCs/>
          <w:szCs w:val="28"/>
          <w:lang w:eastAsia="en-US"/>
        </w:rPr>
        <w:t xml:space="preserve">или </w:t>
      </w:r>
      <w:r w:rsidR="00891458" w:rsidRPr="00AC39E8">
        <w:rPr>
          <w:rFonts w:eastAsia="Calibri"/>
          <w:bCs/>
          <w:szCs w:val="28"/>
          <w:lang w:eastAsia="en-US"/>
        </w:rPr>
        <w:t xml:space="preserve">могли привести </w:t>
      </w:r>
      <w:r w:rsidRPr="00AC39E8">
        <w:rPr>
          <w:rFonts w:eastAsia="Calibri"/>
          <w:bCs/>
          <w:szCs w:val="28"/>
          <w:lang w:eastAsia="en-US"/>
        </w:rPr>
        <w:t xml:space="preserve">к необоснованному сокращению объема поставки газа. </w:t>
      </w:r>
    </w:p>
    <w:p w:rsidR="009B7C77" w:rsidRPr="00AC39E8" w:rsidRDefault="00E42ABC" w:rsidP="00344CBD">
      <w:pPr>
        <w:pStyle w:val="ConsNonformat"/>
        <w:spacing w:before="120" w:line="276" w:lineRule="auto"/>
        <w:ind w:right="0" w:firstLine="45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Таким образом, </w:t>
      </w:r>
      <w:r w:rsidR="00E04F4D" w:rsidRPr="00AC39E8">
        <w:rPr>
          <w:rFonts w:ascii="Times New Roman" w:eastAsia="Calibri" w:hAnsi="Times New Roman"/>
          <w:sz w:val="28"/>
          <w:szCs w:val="28"/>
          <w:lang w:eastAsia="en-US"/>
        </w:rPr>
        <w:t>ООО «Газпром межрегионгаз Север», занимая доминирующее положение на рынке</w:t>
      </w:r>
      <w:r w:rsidR="00E04F4D" w:rsidRPr="00AC39E8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E04F4D" w:rsidRPr="00AC39E8">
        <w:rPr>
          <w:rFonts w:ascii="Times New Roman" w:eastAsia="Calibri" w:hAnsi="Times New Roman"/>
          <w:sz w:val="28"/>
          <w:szCs w:val="28"/>
        </w:rPr>
        <w:t>по реализации газа, злоупотребило своим положением</w:t>
      </w:r>
      <w:r w:rsidR="00E04F4D" w:rsidRPr="00AC39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B7C77" w:rsidRPr="00AC39E8">
        <w:rPr>
          <w:rFonts w:ascii="Times New Roman" w:eastAsia="Calibri" w:hAnsi="Times New Roman"/>
          <w:sz w:val="28"/>
          <w:szCs w:val="28"/>
          <w:lang w:eastAsia="en-US"/>
        </w:rPr>
        <w:t>путём</w:t>
      </w:r>
      <w:r w:rsidR="00E04F4D" w:rsidRPr="00AC39E8">
        <w:rPr>
          <w:rFonts w:ascii="Times New Roman" w:eastAsia="Calibri" w:hAnsi="Times New Roman"/>
          <w:sz w:val="28"/>
          <w:szCs w:val="28"/>
          <w:lang w:eastAsia="en-US"/>
        </w:rPr>
        <w:t xml:space="preserve"> нарушения запрета, установленного частью 1 статьи 10 Федерального закона «О защите конкуренции»</w:t>
      </w:r>
      <w:r w:rsidR="009B7C77" w:rsidRPr="00AC39E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E42ABC" w:rsidRPr="00AC39E8" w:rsidRDefault="00E42ABC" w:rsidP="00344CBD">
      <w:pPr>
        <w:spacing w:before="120" w:line="276" w:lineRule="auto"/>
        <w:ind w:firstLine="454"/>
        <w:jc w:val="both"/>
        <w:rPr>
          <w:szCs w:val="28"/>
        </w:rPr>
      </w:pPr>
      <w:r w:rsidRPr="00E42ABC">
        <w:rPr>
          <w:bCs/>
          <w:szCs w:val="28"/>
        </w:rPr>
        <w:t>На</w:t>
      </w:r>
      <w:r w:rsidRPr="00AC39E8">
        <w:rPr>
          <w:bCs/>
          <w:szCs w:val="28"/>
        </w:rPr>
        <w:t>личие доминирующего положения на товарном рынке накладывает на хозяйствующий субъект обязанность по соблюдению запретов, установленных в статье 10 Федерального закона «О</w:t>
      </w:r>
      <w:r>
        <w:rPr>
          <w:bCs/>
          <w:szCs w:val="28"/>
        </w:rPr>
        <w:t xml:space="preserve"> защите конкуренции», в том числе запрета на необоснованное прекращение поставки товара потребителям.</w:t>
      </w:r>
    </w:p>
    <w:p w:rsidR="00E04F4D" w:rsidRPr="00AC39E8" w:rsidRDefault="00E42ABC" w:rsidP="00B36ACA">
      <w:pPr>
        <w:pStyle w:val="ConsNonformat"/>
        <w:spacing w:before="120" w:line="276" w:lineRule="auto"/>
        <w:ind w:right="0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результатам рассмотрения дел в действиях </w:t>
      </w:r>
      <w:r w:rsidRPr="00AC39E8">
        <w:rPr>
          <w:rFonts w:ascii="Times New Roman" w:eastAsia="Calibri" w:hAnsi="Times New Roman"/>
          <w:sz w:val="28"/>
          <w:szCs w:val="28"/>
          <w:lang w:eastAsia="en-US"/>
        </w:rPr>
        <w:t>ООО «Газпром межрегионгаз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C39E8">
        <w:rPr>
          <w:rFonts w:ascii="Times New Roman" w:eastAsia="Calibri" w:hAnsi="Times New Roman"/>
          <w:sz w:val="28"/>
          <w:szCs w:val="28"/>
          <w:lang w:eastAsia="en-US"/>
        </w:rPr>
        <w:t>Север»</w:t>
      </w:r>
      <w:r w:rsidR="001E5EF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в том и другом случаях</w:t>
      </w:r>
      <w:r w:rsidR="001E5EF5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Управлением был установлен факт нарушения антимонопольного запрета</w:t>
      </w:r>
      <w:r w:rsidR="008965C7">
        <w:rPr>
          <w:rFonts w:ascii="Times New Roman" w:eastAsia="Calibri" w:hAnsi="Times New Roman"/>
          <w:sz w:val="28"/>
          <w:szCs w:val="28"/>
          <w:lang w:eastAsia="en-US"/>
        </w:rPr>
        <w:t>. Нарушение выразилось</w:t>
      </w:r>
      <w:r w:rsidR="00891458" w:rsidRPr="00AC39E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необоснованном ограничении поставки газа для крышных котельных жилых многоквартирных домов</w:t>
      </w:r>
      <w:r w:rsidR="008965C7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891458" w:rsidRPr="00AC39E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результатом чего явилось или могло явиться ущемление интересов Управляющей компании, а также неопределенного круга потребителей.</w:t>
      </w:r>
    </w:p>
    <w:p w:rsidR="00E04F4D" w:rsidRDefault="00E04F4D" w:rsidP="00B36ACA">
      <w:pPr>
        <w:pStyle w:val="ConsNonformat"/>
        <w:spacing w:before="120" w:line="276" w:lineRule="auto"/>
        <w:ind w:right="0" w:firstLine="454"/>
        <w:jc w:val="both"/>
        <w:rPr>
          <w:rFonts w:ascii="Times New Roman" w:hAnsi="Times New Roman"/>
          <w:sz w:val="28"/>
          <w:szCs w:val="28"/>
        </w:rPr>
      </w:pPr>
      <w:r w:rsidRPr="00AC39E8">
        <w:rPr>
          <w:rFonts w:ascii="Times New Roman" w:hAnsi="Times New Roman"/>
          <w:sz w:val="28"/>
          <w:szCs w:val="28"/>
        </w:rPr>
        <w:t>В связи с тем, что ООО «Газпром межрегионгаз Север» осуществляет поставку газа организациям, осуществляющим управление многоквартирными жилыми домами, и имеет техническую возможность в одностороннем порядке осуществить действия по необоснованному ограничению или прекращению поставки газа в котельные жилых домов, Комиссия приняла решение выдать ООО «Газпром межрегионгаз Север» предписание о недопущении действий, которые приводят или могут привести к нарушению антимонопольного законодательства</w:t>
      </w:r>
    </w:p>
    <w:p w:rsidR="00B36ACA" w:rsidRDefault="004D7495" w:rsidP="00B36ACA">
      <w:pPr>
        <w:pStyle w:val="ConsNormal"/>
        <w:widowControl/>
        <w:spacing w:line="276" w:lineRule="auto"/>
        <w:ind w:righ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C39E8">
        <w:rPr>
          <w:rFonts w:ascii="Times New Roman" w:hAnsi="Times New Roman"/>
          <w:sz w:val="28"/>
          <w:szCs w:val="28"/>
        </w:rPr>
        <w:t>ООО «Газпром межрегионгаз Север»</w:t>
      </w:r>
      <w:r>
        <w:rPr>
          <w:rFonts w:ascii="Times New Roman" w:hAnsi="Times New Roman"/>
          <w:sz w:val="28"/>
          <w:szCs w:val="28"/>
        </w:rPr>
        <w:t xml:space="preserve"> не согласилось с принятыми Управлением  решениями  и обжалует их в арбитражном суде. </w:t>
      </w:r>
      <w:r w:rsidR="00B36ACA">
        <w:rPr>
          <w:rFonts w:ascii="Times New Roman" w:hAnsi="Times New Roman"/>
          <w:sz w:val="28"/>
          <w:szCs w:val="28"/>
        </w:rPr>
        <w:t xml:space="preserve">На сегодняшний день, решение по делу </w:t>
      </w:r>
      <w:r w:rsidR="00B36ACA" w:rsidRPr="00B36ACA">
        <w:rPr>
          <w:rFonts w:ascii="Times New Roman" w:hAnsi="Times New Roman" w:cs="Times New Roman"/>
          <w:sz w:val="28"/>
          <w:szCs w:val="28"/>
        </w:rPr>
        <w:t>№ К16/83-10</w:t>
      </w:r>
      <w:r w:rsidR="00B36ACA">
        <w:rPr>
          <w:rFonts w:ascii="Times New Roman" w:hAnsi="Times New Roman" w:cs="Times New Roman"/>
          <w:sz w:val="28"/>
          <w:szCs w:val="28"/>
        </w:rPr>
        <w:t xml:space="preserve"> </w:t>
      </w:r>
      <w:r w:rsidR="001E5EF5">
        <w:rPr>
          <w:rFonts w:ascii="Times New Roman" w:hAnsi="Times New Roman" w:cs="Times New Roman"/>
          <w:sz w:val="28"/>
          <w:szCs w:val="28"/>
        </w:rPr>
        <w:t>признано</w:t>
      </w:r>
      <w:r w:rsidR="001E5EF5">
        <w:rPr>
          <w:rFonts w:ascii="Times New Roman" w:hAnsi="Times New Roman" w:cs="Times New Roman"/>
          <w:sz w:val="28"/>
          <w:szCs w:val="28"/>
        </w:rPr>
        <w:t xml:space="preserve"> </w:t>
      </w:r>
      <w:r w:rsidR="001E5EF5">
        <w:rPr>
          <w:rFonts w:ascii="Times New Roman" w:hAnsi="Times New Roman" w:cs="Times New Roman"/>
          <w:sz w:val="28"/>
          <w:szCs w:val="28"/>
        </w:rPr>
        <w:t>законным</w:t>
      </w:r>
      <w:r w:rsidR="001E5EF5">
        <w:rPr>
          <w:rFonts w:ascii="Times New Roman" w:hAnsi="Times New Roman" w:cs="Times New Roman"/>
          <w:sz w:val="28"/>
          <w:szCs w:val="28"/>
        </w:rPr>
        <w:t xml:space="preserve"> </w:t>
      </w:r>
      <w:r w:rsidR="00B36ACA">
        <w:rPr>
          <w:rFonts w:ascii="Times New Roman" w:hAnsi="Times New Roman" w:cs="Times New Roman"/>
          <w:sz w:val="28"/>
          <w:szCs w:val="28"/>
        </w:rPr>
        <w:t>п</w:t>
      </w:r>
      <w:r w:rsidR="00B36ACA">
        <w:rPr>
          <w:rFonts w:ascii="Times New Roman" w:hAnsi="Times New Roman"/>
          <w:sz w:val="28"/>
          <w:szCs w:val="28"/>
        </w:rPr>
        <w:t>ервой судебной инстанцией</w:t>
      </w:r>
      <w:r w:rsidR="00B36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E44" w:rsidRDefault="004D7495" w:rsidP="00151E8A">
      <w:pPr>
        <w:pStyle w:val="ConsNormal"/>
        <w:widowControl/>
        <w:ind w:right="0" w:firstLine="454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</w:t>
      </w:r>
    </w:p>
    <w:p w:rsidR="00566E09" w:rsidRDefault="00566E09" w:rsidP="007D5481">
      <w:pPr>
        <w:suppressAutoHyphens/>
        <w:spacing w:line="276" w:lineRule="auto"/>
        <w:ind w:firstLine="708"/>
        <w:jc w:val="both"/>
        <w:rPr>
          <w:szCs w:val="28"/>
        </w:rPr>
      </w:pPr>
      <w:r w:rsidRPr="00566E09">
        <w:rPr>
          <w:szCs w:val="28"/>
        </w:rPr>
        <w:t xml:space="preserve">Основанием возбуждения дела </w:t>
      </w:r>
      <w:r w:rsidRPr="00486E44">
        <w:rPr>
          <w:szCs w:val="28"/>
          <w:u w:val="single"/>
        </w:rPr>
        <w:t>№К16/85-10</w:t>
      </w:r>
      <w:r w:rsidRPr="00566E09">
        <w:rPr>
          <w:szCs w:val="28"/>
        </w:rPr>
        <w:t xml:space="preserve"> явилось заявление ООО «ЗапСибАвто</w:t>
      </w:r>
      <w:r>
        <w:rPr>
          <w:szCs w:val="28"/>
        </w:rPr>
        <w:t xml:space="preserve"> </w:t>
      </w:r>
      <w:r w:rsidRPr="00566E09">
        <w:rPr>
          <w:szCs w:val="28"/>
        </w:rPr>
        <w:t xml:space="preserve">на действия Автовокзала, выражающиеся в установлении несправедливой цены на оказываемые услуги по организации регулярных перевозок пассажиров и багажа и дискриминации Заявителя и иных автотранспортных предприятий (АТП), </w:t>
      </w:r>
    </w:p>
    <w:p w:rsidR="007D5481" w:rsidRPr="003959EA" w:rsidRDefault="007D5481" w:rsidP="00B36ACA">
      <w:pPr>
        <w:spacing w:line="276" w:lineRule="auto"/>
        <w:ind w:firstLine="708"/>
        <w:jc w:val="both"/>
        <w:rPr>
          <w:szCs w:val="26"/>
        </w:rPr>
      </w:pPr>
      <w:r>
        <w:rPr>
          <w:szCs w:val="26"/>
        </w:rPr>
        <w:t xml:space="preserve">При оценке действий Автовокзала на соответствие антимонопольному законодательству было установлено, что </w:t>
      </w:r>
      <w:r w:rsidRPr="003959EA">
        <w:rPr>
          <w:rFonts w:hint="eastAsia"/>
          <w:szCs w:val="26"/>
        </w:rPr>
        <w:t>ГБУ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Тюменской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области</w:t>
      </w:r>
      <w:r w:rsidRPr="003959EA">
        <w:rPr>
          <w:szCs w:val="26"/>
        </w:rPr>
        <w:t xml:space="preserve"> «</w:t>
      </w:r>
      <w:r w:rsidRPr="003959EA">
        <w:rPr>
          <w:rFonts w:hint="eastAsia"/>
          <w:szCs w:val="26"/>
        </w:rPr>
        <w:t>Объединение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автовокзалов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и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автостанций»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занимает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доминирующее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положение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на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рынке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услуг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автовокзала</w:t>
      </w:r>
      <w:r w:rsidRPr="003959EA">
        <w:rPr>
          <w:szCs w:val="26"/>
        </w:rPr>
        <w:t xml:space="preserve"> (</w:t>
      </w:r>
      <w:r w:rsidRPr="003959EA">
        <w:rPr>
          <w:rFonts w:hint="eastAsia"/>
          <w:szCs w:val="26"/>
        </w:rPr>
        <w:t>автостанции</w:t>
      </w:r>
      <w:r w:rsidRPr="003959EA">
        <w:rPr>
          <w:szCs w:val="26"/>
        </w:rPr>
        <w:t xml:space="preserve">) </w:t>
      </w:r>
      <w:r w:rsidRPr="003959EA">
        <w:rPr>
          <w:rFonts w:hint="eastAsia"/>
          <w:szCs w:val="26"/>
        </w:rPr>
        <w:t>в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границах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муниципальных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образований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Тюменской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области</w:t>
      </w:r>
      <w:r w:rsidRPr="003959EA">
        <w:rPr>
          <w:szCs w:val="26"/>
        </w:rPr>
        <w:t xml:space="preserve"> (</w:t>
      </w:r>
      <w:r w:rsidRPr="003959EA">
        <w:rPr>
          <w:rFonts w:hint="eastAsia"/>
          <w:szCs w:val="26"/>
        </w:rPr>
        <w:t>без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автономных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округов</w:t>
      </w:r>
      <w:r w:rsidRPr="003959EA">
        <w:rPr>
          <w:szCs w:val="26"/>
        </w:rPr>
        <w:t xml:space="preserve">) </w:t>
      </w:r>
      <w:r w:rsidRPr="003959EA">
        <w:rPr>
          <w:rFonts w:hint="eastAsia"/>
          <w:szCs w:val="26"/>
        </w:rPr>
        <w:t>за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исключением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г</w:t>
      </w:r>
      <w:r w:rsidRPr="003959EA">
        <w:rPr>
          <w:szCs w:val="26"/>
        </w:rPr>
        <w:t>.</w:t>
      </w:r>
      <w:r w:rsidRPr="003959EA">
        <w:rPr>
          <w:rFonts w:hint="eastAsia"/>
          <w:szCs w:val="26"/>
        </w:rPr>
        <w:t>Тобольска</w:t>
      </w:r>
      <w:r w:rsidRPr="003959EA">
        <w:rPr>
          <w:szCs w:val="26"/>
        </w:rPr>
        <w:t xml:space="preserve">, </w:t>
      </w:r>
      <w:r w:rsidRPr="003959EA">
        <w:rPr>
          <w:rFonts w:hint="eastAsia"/>
          <w:szCs w:val="26"/>
        </w:rPr>
        <w:t>Тобольского</w:t>
      </w:r>
      <w:r w:rsidRPr="003959EA">
        <w:rPr>
          <w:szCs w:val="26"/>
        </w:rPr>
        <w:t xml:space="preserve">, </w:t>
      </w:r>
      <w:r w:rsidRPr="003959EA">
        <w:rPr>
          <w:rFonts w:hint="eastAsia"/>
          <w:szCs w:val="26"/>
        </w:rPr>
        <w:t>Сладковского</w:t>
      </w:r>
      <w:r w:rsidRPr="003959EA">
        <w:rPr>
          <w:szCs w:val="26"/>
        </w:rPr>
        <w:t xml:space="preserve">, </w:t>
      </w:r>
      <w:r w:rsidRPr="003959EA">
        <w:rPr>
          <w:rFonts w:hint="eastAsia"/>
          <w:szCs w:val="26"/>
        </w:rPr>
        <w:t>Аромашевского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и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Уватского</w:t>
      </w:r>
      <w:r w:rsidRPr="003959EA">
        <w:rPr>
          <w:szCs w:val="26"/>
        </w:rPr>
        <w:t xml:space="preserve"> </w:t>
      </w:r>
      <w:r w:rsidRPr="003959EA">
        <w:rPr>
          <w:rFonts w:hint="eastAsia"/>
          <w:szCs w:val="26"/>
        </w:rPr>
        <w:t>районов</w:t>
      </w:r>
      <w:r w:rsidRPr="003959EA">
        <w:rPr>
          <w:szCs w:val="26"/>
        </w:rPr>
        <w:t xml:space="preserve">. </w:t>
      </w:r>
    </w:p>
    <w:p w:rsidR="00486E44" w:rsidRPr="00486E44" w:rsidRDefault="00486E44" w:rsidP="007D5481">
      <w:pPr>
        <w:tabs>
          <w:tab w:val="left" w:pos="1560"/>
        </w:tabs>
        <w:spacing w:line="276" w:lineRule="auto"/>
        <w:ind w:firstLine="539"/>
        <w:jc w:val="both"/>
        <w:rPr>
          <w:szCs w:val="26"/>
        </w:rPr>
      </w:pPr>
      <w:r w:rsidRPr="00486E44">
        <w:rPr>
          <w:szCs w:val="26"/>
        </w:rPr>
        <w:t xml:space="preserve">Автовокзал осуществляет реализацию билетов на осуществляемые автотранспортными предприятиями перевозки пассажиров и багажа по межмуниципальным и межрегиональным  маршрутам. Средства, получаемые </w:t>
      </w:r>
      <w:r w:rsidR="007D5481">
        <w:rPr>
          <w:szCs w:val="26"/>
        </w:rPr>
        <w:t xml:space="preserve">от </w:t>
      </w:r>
      <w:r w:rsidRPr="00486E44">
        <w:rPr>
          <w:szCs w:val="26"/>
        </w:rPr>
        <w:t xml:space="preserve">реализации билетов, образуют выручку автотранспортных предприятий за перевозку пассажиров (багажа), часть которой </w:t>
      </w:r>
      <w:r w:rsidR="007D5481">
        <w:rPr>
          <w:szCs w:val="26"/>
        </w:rPr>
        <w:t>Автовокзал</w:t>
      </w:r>
      <w:r w:rsidRPr="00486E44">
        <w:rPr>
          <w:szCs w:val="26"/>
        </w:rPr>
        <w:t xml:space="preserve"> удерживает в виде платы за оказываемые перевозчикам услуги.</w:t>
      </w:r>
    </w:p>
    <w:p w:rsidR="001E5EF5" w:rsidRDefault="00486E44" w:rsidP="007D5481">
      <w:pPr>
        <w:suppressAutoHyphens/>
        <w:spacing w:line="276" w:lineRule="auto"/>
        <w:ind w:right="-2" w:firstLine="454"/>
        <w:jc w:val="both"/>
        <w:rPr>
          <w:szCs w:val="28"/>
        </w:rPr>
      </w:pPr>
      <w:r w:rsidRPr="007D5481">
        <w:rPr>
          <w:szCs w:val="28"/>
        </w:rPr>
        <w:t>Таким образом, за оказываемые услуги по организации регулярных перевозок пассажиров и багажа Автовокзал  устанавливает и взимает плату, которая зависит от размера выручки АТП</w:t>
      </w:r>
      <w:r w:rsidR="001E5EF5">
        <w:rPr>
          <w:szCs w:val="28"/>
        </w:rPr>
        <w:t xml:space="preserve"> о</w:t>
      </w:r>
      <w:r w:rsidRPr="007D5481">
        <w:rPr>
          <w:szCs w:val="28"/>
        </w:rPr>
        <w:t xml:space="preserve">т реализации билетов на проезд пассажиров и провоз багажа, а также и от суммы компенсации, которую автопредприятие получает из бюджета за перевозку пассажиров, пользующихся бесплатным проездом по действующим льготам. </w:t>
      </w:r>
    </w:p>
    <w:p w:rsidR="00486E44" w:rsidRPr="007D5481" w:rsidRDefault="00486E44" w:rsidP="007D5481">
      <w:pPr>
        <w:suppressAutoHyphens/>
        <w:spacing w:line="276" w:lineRule="auto"/>
        <w:ind w:right="-2" w:firstLine="454"/>
        <w:jc w:val="both"/>
        <w:rPr>
          <w:szCs w:val="28"/>
        </w:rPr>
      </w:pPr>
      <w:r w:rsidRPr="007D5481">
        <w:rPr>
          <w:szCs w:val="28"/>
        </w:rPr>
        <w:t>Из чего следует вывод, что стоимостное выражение (плата) одинаковой по содержанию услуги, оказанной Автовокзалом конкретному перевозчику, является разным</w:t>
      </w:r>
      <w:r w:rsidR="007D5481" w:rsidRPr="007D5481">
        <w:rPr>
          <w:szCs w:val="28"/>
        </w:rPr>
        <w:t>, что приводит к дискриминации одних перевозчиков по сравнению с другими, так как ставит их в неравное положение</w:t>
      </w:r>
      <w:r w:rsidR="001E5EF5">
        <w:rPr>
          <w:szCs w:val="28"/>
        </w:rPr>
        <w:t xml:space="preserve"> при осуществлении деятельности</w:t>
      </w:r>
      <w:r w:rsidR="007D5481" w:rsidRPr="007D5481">
        <w:rPr>
          <w:szCs w:val="28"/>
        </w:rPr>
        <w:t xml:space="preserve"> на рынке услуг по перевозке пассажиров и багажа автобусами регулярных маршрутов</w:t>
      </w:r>
      <w:r w:rsidRPr="007D5481">
        <w:rPr>
          <w:szCs w:val="28"/>
        </w:rPr>
        <w:t xml:space="preserve">. </w:t>
      </w:r>
    </w:p>
    <w:p w:rsidR="007D5481" w:rsidRPr="00114BBA" w:rsidRDefault="007D5481" w:rsidP="00B36ACA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b/>
          <w:szCs w:val="28"/>
        </w:rPr>
      </w:pPr>
      <w:r w:rsidRPr="00114BBA">
        <w:rPr>
          <w:bCs/>
          <w:szCs w:val="28"/>
        </w:rPr>
        <w:t>Федеральным законом «О защите конкуренции» запрещены действия</w:t>
      </w:r>
      <w:r w:rsidRPr="00114BBA">
        <w:rPr>
          <w:szCs w:val="28"/>
        </w:rPr>
        <w:t xml:space="preserve"> занимающих доминирующее положение компаний по созданию другим  лицам дискриминационных условий деятельности на товарном рынке, результатом которых являются ограничение конкуренции или ущемление интересов иных лиц.</w:t>
      </w:r>
    </w:p>
    <w:p w:rsidR="007D5481" w:rsidRPr="00114BBA" w:rsidRDefault="007D5481" w:rsidP="00B36ACA">
      <w:pPr>
        <w:suppressAutoHyphens/>
        <w:spacing w:line="276" w:lineRule="auto"/>
        <w:ind w:right="-2" w:firstLine="454"/>
        <w:jc w:val="both"/>
        <w:rPr>
          <w:szCs w:val="28"/>
        </w:rPr>
      </w:pPr>
      <w:r w:rsidRPr="00566E09">
        <w:rPr>
          <w:szCs w:val="28"/>
        </w:rPr>
        <w:t xml:space="preserve">В соответствие с требованиями </w:t>
      </w:r>
      <w:r w:rsidRPr="00566E09">
        <w:rPr>
          <w:rFonts w:hint="eastAsia"/>
          <w:szCs w:val="28"/>
        </w:rPr>
        <w:t>Закон</w:t>
      </w:r>
      <w:r w:rsidRPr="00566E09">
        <w:rPr>
          <w:szCs w:val="28"/>
        </w:rPr>
        <w:t xml:space="preserve">а </w:t>
      </w:r>
      <w:r w:rsidRPr="00566E09">
        <w:rPr>
          <w:rFonts w:hint="eastAsia"/>
          <w:szCs w:val="28"/>
        </w:rPr>
        <w:t>о</w:t>
      </w:r>
      <w:r w:rsidRPr="00566E09">
        <w:rPr>
          <w:szCs w:val="28"/>
        </w:rPr>
        <w:t xml:space="preserve"> </w:t>
      </w:r>
      <w:r w:rsidRPr="00566E09">
        <w:rPr>
          <w:rFonts w:hint="eastAsia"/>
          <w:szCs w:val="28"/>
        </w:rPr>
        <w:t>защите</w:t>
      </w:r>
      <w:r w:rsidRPr="00566E09">
        <w:rPr>
          <w:szCs w:val="28"/>
        </w:rPr>
        <w:t xml:space="preserve"> </w:t>
      </w:r>
      <w:r w:rsidRPr="00566E09">
        <w:rPr>
          <w:rFonts w:hint="eastAsia"/>
          <w:szCs w:val="28"/>
        </w:rPr>
        <w:t>конкуренции</w:t>
      </w:r>
      <w:r w:rsidRPr="00566E09">
        <w:rPr>
          <w:szCs w:val="28"/>
        </w:rPr>
        <w:t xml:space="preserve"> </w:t>
      </w:r>
      <w:r w:rsidRPr="00114BBA">
        <w:rPr>
          <w:szCs w:val="28"/>
        </w:rPr>
        <w:t>Автовокзалу</w:t>
      </w:r>
      <w:r w:rsidRPr="00566E09">
        <w:rPr>
          <w:szCs w:val="28"/>
        </w:rPr>
        <w:t xml:space="preserve"> было направлено</w:t>
      </w:r>
      <w:r w:rsidRPr="00566E09">
        <w:rPr>
          <w:b/>
          <w:szCs w:val="28"/>
        </w:rPr>
        <w:t xml:space="preserve"> </w:t>
      </w:r>
      <w:r w:rsidRPr="00566E09">
        <w:rPr>
          <w:szCs w:val="28"/>
        </w:rPr>
        <w:t>предупреждение о прекращении действий (бездействия), которые содержат признаки нарушения антимонопольного законодательства</w:t>
      </w:r>
      <w:r w:rsidRPr="00114BBA">
        <w:rPr>
          <w:szCs w:val="28"/>
        </w:rPr>
        <w:t xml:space="preserve">. </w:t>
      </w:r>
    </w:p>
    <w:p w:rsidR="007D5481" w:rsidRPr="00566E09" w:rsidRDefault="007D5481" w:rsidP="007D5481">
      <w:pPr>
        <w:suppressAutoHyphens/>
        <w:spacing w:line="276" w:lineRule="auto"/>
        <w:ind w:right="-2" w:firstLine="454"/>
        <w:jc w:val="both"/>
        <w:rPr>
          <w:szCs w:val="28"/>
        </w:rPr>
      </w:pPr>
      <w:r w:rsidRPr="00114BBA">
        <w:rPr>
          <w:szCs w:val="28"/>
        </w:rPr>
        <w:t>Впоследствии з</w:t>
      </w:r>
      <w:r w:rsidRPr="00566E09">
        <w:rPr>
          <w:szCs w:val="28"/>
        </w:rPr>
        <w:t xml:space="preserve">аконность выдачи предупреждения </w:t>
      </w:r>
      <w:r w:rsidRPr="00114BBA">
        <w:rPr>
          <w:szCs w:val="28"/>
        </w:rPr>
        <w:t>было подтверждено</w:t>
      </w:r>
      <w:r w:rsidRPr="00566E09">
        <w:rPr>
          <w:szCs w:val="28"/>
        </w:rPr>
        <w:t xml:space="preserve"> Арбитражн</w:t>
      </w:r>
      <w:r w:rsidRPr="00114BBA">
        <w:rPr>
          <w:szCs w:val="28"/>
        </w:rPr>
        <w:t>ым</w:t>
      </w:r>
      <w:r w:rsidRPr="00566E09">
        <w:rPr>
          <w:szCs w:val="28"/>
        </w:rPr>
        <w:t xml:space="preserve"> суд</w:t>
      </w:r>
      <w:r w:rsidRPr="00114BBA">
        <w:rPr>
          <w:szCs w:val="28"/>
        </w:rPr>
        <w:t>ом</w:t>
      </w:r>
      <w:r w:rsidRPr="00566E09">
        <w:rPr>
          <w:szCs w:val="28"/>
        </w:rPr>
        <w:t xml:space="preserve"> Тюменской области</w:t>
      </w:r>
      <w:r w:rsidRPr="00114BBA">
        <w:rPr>
          <w:szCs w:val="28"/>
        </w:rPr>
        <w:t>.</w:t>
      </w:r>
      <w:r w:rsidRPr="00566E09">
        <w:rPr>
          <w:szCs w:val="28"/>
        </w:rPr>
        <w:t xml:space="preserve">  </w:t>
      </w:r>
    </w:p>
    <w:p w:rsidR="007D5481" w:rsidRPr="00114BBA" w:rsidRDefault="007D5481" w:rsidP="007D5481">
      <w:pPr>
        <w:spacing w:before="120" w:line="276" w:lineRule="auto"/>
        <w:ind w:firstLine="680"/>
        <w:jc w:val="both"/>
        <w:rPr>
          <w:szCs w:val="28"/>
        </w:rPr>
      </w:pPr>
      <w:r w:rsidRPr="00114BBA">
        <w:rPr>
          <w:szCs w:val="28"/>
        </w:rPr>
        <w:t xml:space="preserve">Поскольку полученное предупреждение Автовокзал не выполнил, в отношении хозяйствующего субъекта было возбуждено дело о нарушении антимонопольного законодательства, рассмотрение которого завершилось в марте 2017 года. </w:t>
      </w:r>
    </w:p>
    <w:p w:rsidR="004021F8" w:rsidRPr="004021F8" w:rsidRDefault="004021F8" w:rsidP="00114BBA">
      <w:pPr>
        <w:spacing w:line="276" w:lineRule="auto"/>
        <w:ind w:firstLine="709"/>
        <w:jc w:val="both"/>
        <w:rPr>
          <w:i/>
          <w:iCs/>
          <w:szCs w:val="28"/>
        </w:rPr>
      </w:pPr>
      <w:r w:rsidRPr="00114BBA">
        <w:rPr>
          <w:szCs w:val="28"/>
        </w:rPr>
        <w:t xml:space="preserve">В ходе рассмотрения дела Управлением было доказано, что используемая система ценообразования на услуги автовокзала приводит к дискриминационному перераспределению финансовой нагрузки по содержанию автовокзала на перевозчиков, осуществляющих перевозку пассажиров и багажа на дальние расстояния (межмуниципальные перевозки и межрегиональные), а также </w:t>
      </w:r>
      <w:r w:rsidRPr="004021F8">
        <w:rPr>
          <w:iCs/>
          <w:szCs w:val="28"/>
        </w:rPr>
        <w:t>создаёт условия, когда одному потребителю (автотранспортно</w:t>
      </w:r>
      <w:r w:rsidRPr="00114BBA">
        <w:rPr>
          <w:iCs/>
          <w:szCs w:val="28"/>
        </w:rPr>
        <w:t>му</w:t>
      </w:r>
      <w:r w:rsidRPr="004021F8">
        <w:rPr>
          <w:iCs/>
          <w:szCs w:val="28"/>
        </w:rPr>
        <w:t xml:space="preserve"> предприяти</w:t>
      </w:r>
      <w:r w:rsidRPr="00114BBA">
        <w:rPr>
          <w:iCs/>
          <w:szCs w:val="28"/>
        </w:rPr>
        <w:t>ю</w:t>
      </w:r>
      <w:r w:rsidRPr="004021F8">
        <w:rPr>
          <w:iCs/>
          <w:szCs w:val="28"/>
        </w:rPr>
        <w:t>) услуга предоставляется по более высокой цене, чем другому, только потому, что перевозчиком получена выручка от реализации билетов в большем</w:t>
      </w:r>
      <w:r w:rsidRPr="00114BBA">
        <w:rPr>
          <w:iCs/>
          <w:szCs w:val="28"/>
        </w:rPr>
        <w:t>,</w:t>
      </w:r>
      <w:r w:rsidRPr="004021F8">
        <w:rPr>
          <w:iCs/>
          <w:szCs w:val="28"/>
        </w:rPr>
        <w:t xml:space="preserve"> чем </w:t>
      </w:r>
      <w:r w:rsidRPr="00114BBA">
        <w:rPr>
          <w:iCs/>
          <w:szCs w:val="28"/>
        </w:rPr>
        <w:t xml:space="preserve">у </w:t>
      </w:r>
      <w:r w:rsidRPr="004021F8">
        <w:rPr>
          <w:iCs/>
          <w:szCs w:val="28"/>
        </w:rPr>
        <w:t>друг</w:t>
      </w:r>
      <w:r w:rsidRPr="00114BBA">
        <w:rPr>
          <w:iCs/>
          <w:szCs w:val="28"/>
        </w:rPr>
        <w:t>ого, объёме</w:t>
      </w:r>
      <w:r w:rsidRPr="004021F8">
        <w:rPr>
          <w:iCs/>
          <w:szCs w:val="28"/>
        </w:rPr>
        <w:t>. Разница в расходах на приобретение услуги автовокзала приводит к ущемлению интересов той части автотранспортных предприятий, стоимость приобретения услуг автовокзала для которых по сравнению с другими является выше.</w:t>
      </w:r>
    </w:p>
    <w:p w:rsidR="00E155CB" w:rsidRPr="00114BBA" w:rsidRDefault="004021F8" w:rsidP="00114BBA">
      <w:pPr>
        <w:spacing w:line="276" w:lineRule="auto"/>
        <w:ind w:firstLine="709"/>
        <w:jc w:val="both"/>
        <w:rPr>
          <w:szCs w:val="28"/>
        </w:rPr>
      </w:pPr>
      <w:r w:rsidRPr="00114BBA">
        <w:rPr>
          <w:szCs w:val="28"/>
        </w:rPr>
        <w:t>П</w:t>
      </w:r>
      <w:r w:rsidRPr="004021F8">
        <w:rPr>
          <w:rFonts w:hint="eastAsia"/>
          <w:szCs w:val="28"/>
        </w:rPr>
        <w:t>о</w:t>
      </w:r>
      <w:r w:rsidRPr="004021F8">
        <w:rPr>
          <w:szCs w:val="28"/>
        </w:rPr>
        <w:t xml:space="preserve"> </w:t>
      </w:r>
      <w:r w:rsidRPr="004021F8">
        <w:rPr>
          <w:rFonts w:hint="eastAsia"/>
          <w:szCs w:val="28"/>
        </w:rPr>
        <w:t>результатам</w:t>
      </w:r>
      <w:r w:rsidRPr="004021F8">
        <w:rPr>
          <w:szCs w:val="28"/>
        </w:rPr>
        <w:t xml:space="preserve"> </w:t>
      </w:r>
      <w:r w:rsidRPr="004021F8">
        <w:rPr>
          <w:rFonts w:hint="eastAsia"/>
          <w:szCs w:val="28"/>
        </w:rPr>
        <w:t>рассмотрения</w:t>
      </w:r>
      <w:r w:rsidRPr="004021F8">
        <w:rPr>
          <w:szCs w:val="28"/>
        </w:rPr>
        <w:t xml:space="preserve"> </w:t>
      </w:r>
      <w:r w:rsidRPr="004021F8">
        <w:rPr>
          <w:rFonts w:hint="eastAsia"/>
          <w:szCs w:val="28"/>
        </w:rPr>
        <w:t>дела</w:t>
      </w:r>
      <w:r w:rsidRPr="004021F8">
        <w:rPr>
          <w:szCs w:val="28"/>
        </w:rPr>
        <w:t xml:space="preserve"> </w:t>
      </w:r>
      <w:r w:rsidRPr="004021F8">
        <w:rPr>
          <w:rFonts w:hint="eastAsia"/>
          <w:szCs w:val="28"/>
        </w:rPr>
        <w:t>№К</w:t>
      </w:r>
      <w:r w:rsidRPr="004021F8">
        <w:rPr>
          <w:szCs w:val="28"/>
        </w:rPr>
        <w:t xml:space="preserve">16/85-10 </w:t>
      </w:r>
      <w:r w:rsidR="00E155CB" w:rsidRPr="00114BBA">
        <w:rPr>
          <w:szCs w:val="28"/>
        </w:rPr>
        <w:t xml:space="preserve">Комиссия </w:t>
      </w:r>
      <w:r w:rsidR="00E155CB" w:rsidRPr="00E155CB">
        <w:rPr>
          <w:szCs w:val="28"/>
        </w:rPr>
        <w:t xml:space="preserve">пришла к выводу о наличии в действиях </w:t>
      </w:r>
      <w:r w:rsidR="00E155CB" w:rsidRPr="00114BBA">
        <w:rPr>
          <w:szCs w:val="28"/>
        </w:rPr>
        <w:t>Автовокзала</w:t>
      </w:r>
      <w:r w:rsidR="00E155CB" w:rsidRPr="00E155CB">
        <w:rPr>
          <w:szCs w:val="28"/>
        </w:rPr>
        <w:t xml:space="preserve"> нарушения п.8 ч.1 ст</w:t>
      </w:r>
      <w:r w:rsidR="00E155CB" w:rsidRPr="00114BBA">
        <w:rPr>
          <w:szCs w:val="28"/>
        </w:rPr>
        <w:t>.</w:t>
      </w:r>
      <w:r w:rsidR="00E155CB" w:rsidRPr="00E155CB">
        <w:rPr>
          <w:szCs w:val="28"/>
        </w:rPr>
        <w:t xml:space="preserve">10 </w:t>
      </w:r>
      <w:r w:rsidR="00E155CB" w:rsidRPr="00114BBA">
        <w:rPr>
          <w:szCs w:val="28"/>
        </w:rPr>
        <w:t>Закона о</w:t>
      </w:r>
      <w:r w:rsidR="00E155CB" w:rsidRPr="00E155CB">
        <w:rPr>
          <w:szCs w:val="28"/>
        </w:rPr>
        <w:t xml:space="preserve"> защите конкуренции</w:t>
      </w:r>
      <w:r w:rsidR="00E155CB" w:rsidRPr="00114BBA">
        <w:rPr>
          <w:szCs w:val="28"/>
        </w:rPr>
        <w:t>. Нарушение выразилось</w:t>
      </w:r>
      <w:r w:rsidR="00E155CB" w:rsidRPr="00E155CB">
        <w:rPr>
          <w:szCs w:val="28"/>
        </w:rPr>
        <w:t xml:space="preserve"> </w:t>
      </w:r>
      <w:r w:rsidR="00E155CB" w:rsidRPr="00E155CB">
        <w:rPr>
          <w:rFonts w:hint="eastAsia"/>
          <w:szCs w:val="28"/>
        </w:rPr>
        <w:t>в</w:t>
      </w:r>
      <w:r w:rsidR="00E155CB" w:rsidRPr="00E155CB">
        <w:rPr>
          <w:szCs w:val="28"/>
        </w:rPr>
        <w:t xml:space="preserve"> </w:t>
      </w:r>
      <w:r w:rsidR="00E155CB" w:rsidRPr="00E155CB">
        <w:rPr>
          <w:rFonts w:hint="eastAsia"/>
          <w:szCs w:val="28"/>
        </w:rPr>
        <w:t>создании</w:t>
      </w:r>
      <w:r w:rsidR="00E155CB" w:rsidRPr="00E155CB">
        <w:rPr>
          <w:szCs w:val="28"/>
        </w:rPr>
        <w:t xml:space="preserve"> </w:t>
      </w:r>
      <w:r w:rsidR="00E155CB" w:rsidRPr="00114BBA">
        <w:rPr>
          <w:szCs w:val="28"/>
        </w:rPr>
        <w:t xml:space="preserve">Автовокзалом </w:t>
      </w:r>
      <w:r w:rsidR="00E155CB" w:rsidRPr="00E155CB">
        <w:rPr>
          <w:rFonts w:hint="eastAsia"/>
          <w:szCs w:val="28"/>
        </w:rPr>
        <w:t>дискриминационных</w:t>
      </w:r>
      <w:r w:rsidR="00E155CB" w:rsidRPr="00E155CB">
        <w:rPr>
          <w:szCs w:val="28"/>
        </w:rPr>
        <w:t xml:space="preserve"> </w:t>
      </w:r>
      <w:r w:rsidR="00E155CB" w:rsidRPr="00E155CB">
        <w:rPr>
          <w:rFonts w:hint="eastAsia"/>
          <w:szCs w:val="28"/>
        </w:rPr>
        <w:t>условий</w:t>
      </w:r>
      <w:r w:rsidR="00E155CB" w:rsidRPr="00E155CB">
        <w:rPr>
          <w:szCs w:val="28"/>
        </w:rPr>
        <w:t xml:space="preserve"> на рынке услуг автовокзалов (автостанций) путём установления платы за оказываемые услуги в относительной величине</w:t>
      </w:r>
      <w:r w:rsidR="00E155CB" w:rsidRPr="00114BBA">
        <w:rPr>
          <w:szCs w:val="28"/>
        </w:rPr>
        <w:t>.</w:t>
      </w:r>
      <w:r w:rsidR="00E155CB" w:rsidRPr="00E155CB">
        <w:rPr>
          <w:szCs w:val="28"/>
        </w:rPr>
        <w:t xml:space="preserve"> </w:t>
      </w:r>
    </w:p>
    <w:p w:rsidR="00E155CB" w:rsidRPr="00E155CB" w:rsidRDefault="00E155CB" w:rsidP="00114BBA">
      <w:pPr>
        <w:spacing w:line="276" w:lineRule="auto"/>
        <w:ind w:firstLine="709"/>
        <w:jc w:val="both"/>
        <w:rPr>
          <w:szCs w:val="28"/>
        </w:rPr>
      </w:pPr>
      <w:r w:rsidRPr="00114BBA">
        <w:rPr>
          <w:szCs w:val="28"/>
        </w:rPr>
        <w:t>Р</w:t>
      </w:r>
      <w:r w:rsidRPr="00E155CB">
        <w:rPr>
          <w:szCs w:val="28"/>
        </w:rPr>
        <w:t xml:space="preserve">езультатом </w:t>
      </w:r>
      <w:r w:rsidRPr="00114BBA">
        <w:rPr>
          <w:szCs w:val="28"/>
        </w:rPr>
        <w:t>совершаемых Автовокзалом действий</w:t>
      </w:r>
      <w:r w:rsidRPr="00E155CB">
        <w:rPr>
          <w:szCs w:val="28"/>
        </w:rPr>
        <w:t xml:space="preserve"> явилось </w:t>
      </w:r>
      <w:r w:rsidRPr="00114BBA">
        <w:rPr>
          <w:szCs w:val="28"/>
        </w:rPr>
        <w:t xml:space="preserve">или </w:t>
      </w:r>
      <w:r w:rsidRPr="00E155CB">
        <w:rPr>
          <w:szCs w:val="28"/>
        </w:rPr>
        <w:t xml:space="preserve">может явиться ущемление интересов </w:t>
      </w:r>
      <w:r w:rsidRPr="00114BBA">
        <w:rPr>
          <w:szCs w:val="28"/>
        </w:rPr>
        <w:t>ООО «ЗапСибАвто» (з</w:t>
      </w:r>
      <w:r w:rsidRPr="00E155CB">
        <w:rPr>
          <w:szCs w:val="28"/>
        </w:rPr>
        <w:t>аявителя</w:t>
      </w:r>
      <w:r w:rsidRPr="00114BBA">
        <w:rPr>
          <w:szCs w:val="28"/>
        </w:rPr>
        <w:t>)</w:t>
      </w:r>
      <w:r w:rsidRPr="00E155CB">
        <w:rPr>
          <w:szCs w:val="28"/>
        </w:rPr>
        <w:t xml:space="preserve"> и иных хозяйствующих субъектов, осуществляющих деятельность на рынке услуг регулярных пассажирских автоперевозок пассажиров </w:t>
      </w:r>
    </w:p>
    <w:p w:rsidR="00C71A69" w:rsidRPr="00114BBA" w:rsidRDefault="00C71A69" w:rsidP="00114BBA">
      <w:pPr>
        <w:spacing w:line="276" w:lineRule="auto"/>
        <w:ind w:firstLine="709"/>
        <w:jc w:val="both"/>
        <w:rPr>
          <w:bCs/>
          <w:szCs w:val="28"/>
        </w:rPr>
      </w:pPr>
      <w:r w:rsidRPr="00114BBA">
        <w:rPr>
          <w:rFonts w:hint="eastAsia"/>
          <w:szCs w:val="28"/>
        </w:rPr>
        <w:t>ГБУ</w:t>
      </w:r>
      <w:r w:rsidRPr="00114BBA">
        <w:rPr>
          <w:szCs w:val="28"/>
        </w:rPr>
        <w:t xml:space="preserve"> </w:t>
      </w:r>
      <w:r w:rsidRPr="00114BBA">
        <w:rPr>
          <w:rFonts w:hint="eastAsia"/>
          <w:szCs w:val="28"/>
        </w:rPr>
        <w:t>Тюменской</w:t>
      </w:r>
      <w:r w:rsidRPr="00114BBA">
        <w:rPr>
          <w:szCs w:val="28"/>
        </w:rPr>
        <w:t xml:space="preserve"> </w:t>
      </w:r>
      <w:r w:rsidRPr="00114BBA">
        <w:rPr>
          <w:rFonts w:hint="eastAsia"/>
          <w:szCs w:val="28"/>
        </w:rPr>
        <w:t>области</w:t>
      </w:r>
      <w:r w:rsidRPr="00114BBA">
        <w:rPr>
          <w:szCs w:val="28"/>
        </w:rPr>
        <w:t xml:space="preserve"> «</w:t>
      </w:r>
      <w:r w:rsidRPr="00114BBA">
        <w:rPr>
          <w:rFonts w:hint="eastAsia"/>
          <w:szCs w:val="28"/>
        </w:rPr>
        <w:t>Объединение</w:t>
      </w:r>
      <w:r w:rsidRPr="00114BBA">
        <w:rPr>
          <w:szCs w:val="28"/>
        </w:rPr>
        <w:t xml:space="preserve"> </w:t>
      </w:r>
      <w:r w:rsidRPr="00114BBA">
        <w:rPr>
          <w:rFonts w:hint="eastAsia"/>
          <w:szCs w:val="28"/>
        </w:rPr>
        <w:t>автовокзалов</w:t>
      </w:r>
      <w:r w:rsidRPr="00114BBA">
        <w:rPr>
          <w:szCs w:val="28"/>
        </w:rPr>
        <w:t xml:space="preserve"> </w:t>
      </w:r>
      <w:r w:rsidRPr="00114BBA">
        <w:rPr>
          <w:rFonts w:hint="eastAsia"/>
          <w:szCs w:val="28"/>
        </w:rPr>
        <w:t>и</w:t>
      </w:r>
      <w:r w:rsidRPr="00114BBA">
        <w:rPr>
          <w:szCs w:val="28"/>
        </w:rPr>
        <w:t xml:space="preserve"> </w:t>
      </w:r>
      <w:r w:rsidRPr="00114BBA">
        <w:rPr>
          <w:rFonts w:hint="eastAsia"/>
          <w:szCs w:val="28"/>
        </w:rPr>
        <w:t>автостанций»</w:t>
      </w:r>
      <w:r w:rsidRPr="00114BBA">
        <w:rPr>
          <w:szCs w:val="28"/>
        </w:rPr>
        <w:t xml:space="preserve"> выдано обязательное для исполнения предписание о прекращении допущенного нарушения и совершении</w:t>
      </w:r>
      <w:r w:rsidRPr="00114BBA">
        <w:rPr>
          <w:bCs/>
          <w:szCs w:val="28"/>
        </w:rPr>
        <w:t xml:space="preserve"> действий, направленных на создание недискриминационных условий реализации товара (услуг). </w:t>
      </w:r>
    </w:p>
    <w:p w:rsidR="00B866A3" w:rsidRDefault="00114BBA" w:rsidP="00114BBA">
      <w:pPr>
        <w:spacing w:line="276" w:lineRule="auto"/>
        <w:ind w:firstLine="709"/>
        <w:jc w:val="both"/>
        <w:rPr>
          <w:bCs/>
          <w:szCs w:val="28"/>
        </w:rPr>
      </w:pPr>
      <w:r w:rsidRPr="00114BBA">
        <w:rPr>
          <w:bCs/>
          <w:szCs w:val="28"/>
        </w:rPr>
        <w:t>И</w:t>
      </w:r>
      <w:r w:rsidR="00C71A69" w:rsidRPr="00114BBA">
        <w:rPr>
          <w:bCs/>
          <w:szCs w:val="28"/>
        </w:rPr>
        <w:t>сполнени</w:t>
      </w:r>
      <w:r w:rsidRPr="00114BBA">
        <w:rPr>
          <w:bCs/>
          <w:szCs w:val="28"/>
        </w:rPr>
        <w:t>е</w:t>
      </w:r>
      <w:r w:rsidR="00C71A69" w:rsidRPr="00114BBA">
        <w:rPr>
          <w:bCs/>
          <w:szCs w:val="28"/>
        </w:rPr>
        <w:t xml:space="preserve"> предписания </w:t>
      </w:r>
      <w:r w:rsidRPr="00114BBA">
        <w:rPr>
          <w:bCs/>
          <w:szCs w:val="28"/>
        </w:rPr>
        <w:t xml:space="preserve">должно привести к </w:t>
      </w:r>
      <w:r w:rsidR="00C71A69" w:rsidRPr="00114BBA">
        <w:rPr>
          <w:bCs/>
          <w:szCs w:val="28"/>
        </w:rPr>
        <w:t>изменени</w:t>
      </w:r>
      <w:r w:rsidRPr="00114BBA">
        <w:rPr>
          <w:bCs/>
          <w:szCs w:val="28"/>
        </w:rPr>
        <w:t>ю</w:t>
      </w:r>
      <w:r w:rsidR="00C71A69" w:rsidRPr="00114BBA">
        <w:rPr>
          <w:bCs/>
          <w:szCs w:val="28"/>
        </w:rPr>
        <w:t xml:space="preserve"> </w:t>
      </w:r>
      <w:r w:rsidRPr="00114BBA">
        <w:rPr>
          <w:bCs/>
          <w:szCs w:val="28"/>
        </w:rPr>
        <w:t xml:space="preserve">дискриминационной системы </w:t>
      </w:r>
      <w:r w:rsidR="00C71A69" w:rsidRPr="00114BBA">
        <w:rPr>
          <w:bCs/>
          <w:szCs w:val="28"/>
        </w:rPr>
        <w:t>ценообразования</w:t>
      </w:r>
      <w:r w:rsidRPr="00114BBA">
        <w:rPr>
          <w:bCs/>
          <w:szCs w:val="28"/>
        </w:rPr>
        <w:t xml:space="preserve"> и установления цен (тарифов) на услуги автовокзала, оказываемые автоперевозчикам</w:t>
      </w:r>
      <w:r w:rsidR="00B866A3">
        <w:rPr>
          <w:bCs/>
          <w:szCs w:val="28"/>
        </w:rPr>
        <w:t>,</w:t>
      </w:r>
      <w:r w:rsidRPr="00114BBA">
        <w:rPr>
          <w:bCs/>
          <w:szCs w:val="28"/>
        </w:rPr>
        <w:t xml:space="preserve"> в абсолютно</w:t>
      </w:r>
      <w:r w:rsidR="00B866A3">
        <w:rPr>
          <w:bCs/>
          <w:szCs w:val="28"/>
        </w:rPr>
        <w:t>м стоимостном  выражении.</w:t>
      </w:r>
    </w:p>
    <w:p w:rsidR="00486E44" w:rsidRPr="00486E44" w:rsidRDefault="00114BBA" w:rsidP="00114BBA">
      <w:pPr>
        <w:spacing w:line="276" w:lineRule="auto"/>
        <w:ind w:firstLine="709"/>
        <w:jc w:val="both"/>
        <w:rPr>
          <w:szCs w:val="28"/>
        </w:rPr>
      </w:pPr>
      <w:r w:rsidRPr="00114BBA">
        <w:rPr>
          <w:szCs w:val="28"/>
        </w:rPr>
        <w:t>В настоящее время Автовокзалом подана жалоба в Арбитражный суд Тюменской области, в которой оспаривается законность принятого управлением по делу решения и выданного предписания.</w:t>
      </w:r>
    </w:p>
    <w:p w:rsidR="00B36ACA" w:rsidRDefault="00B36ACA" w:rsidP="00344CBD">
      <w:pPr>
        <w:widowControl w:val="0"/>
        <w:spacing w:before="120" w:line="276" w:lineRule="auto"/>
        <w:ind w:firstLine="454"/>
        <w:jc w:val="both"/>
        <w:rPr>
          <w:b/>
          <w:szCs w:val="28"/>
        </w:rPr>
      </w:pPr>
    </w:p>
    <w:p w:rsidR="00EC102A" w:rsidRPr="00AC39E8" w:rsidRDefault="00EC102A" w:rsidP="00344CBD">
      <w:pPr>
        <w:widowControl w:val="0"/>
        <w:spacing w:before="120" w:line="276" w:lineRule="auto"/>
        <w:ind w:firstLine="454"/>
        <w:jc w:val="both"/>
        <w:rPr>
          <w:b/>
          <w:szCs w:val="28"/>
        </w:rPr>
      </w:pPr>
      <w:r w:rsidRPr="00AC39E8">
        <w:rPr>
          <w:b/>
          <w:szCs w:val="28"/>
        </w:rPr>
        <w:t>Практика пресечения соглашений хозяйствующих субъектов, ограничивающих конкуренцию (статья 11 Закона о защите конкуренции)</w:t>
      </w:r>
    </w:p>
    <w:p w:rsidR="001B10AA" w:rsidRPr="001B10AA" w:rsidRDefault="004C55DC" w:rsidP="00344CBD">
      <w:pPr>
        <w:spacing w:before="120" w:line="276" w:lineRule="auto"/>
        <w:ind w:firstLine="454"/>
        <w:jc w:val="both"/>
        <w:rPr>
          <w:szCs w:val="28"/>
        </w:rPr>
      </w:pPr>
      <w:r>
        <w:rPr>
          <w:szCs w:val="28"/>
        </w:rPr>
        <w:t xml:space="preserve">За </w:t>
      </w:r>
      <w:r w:rsidR="000F01E9">
        <w:rPr>
          <w:szCs w:val="28"/>
        </w:rPr>
        <w:t>перво</w:t>
      </w:r>
      <w:r>
        <w:rPr>
          <w:szCs w:val="28"/>
        </w:rPr>
        <w:t>е</w:t>
      </w:r>
      <w:r w:rsidR="000F01E9">
        <w:rPr>
          <w:szCs w:val="28"/>
        </w:rPr>
        <w:t xml:space="preserve"> полугоди</w:t>
      </w:r>
      <w:r>
        <w:rPr>
          <w:szCs w:val="28"/>
        </w:rPr>
        <w:t>е</w:t>
      </w:r>
      <w:r w:rsidR="00EC102A" w:rsidRPr="00AC39E8">
        <w:rPr>
          <w:szCs w:val="28"/>
        </w:rPr>
        <w:t xml:space="preserve"> </w:t>
      </w:r>
      <w:r w:rsidR="00997642" w:rsidRPr="00AC39E8">
        <w:rPr>
          <w:szCs w:val="28"/>
        </w:rPr>
        <w:t>управлением</w:t>
      </w:r>
      <w:r w:rsidR="00BE3BB3" w:rsidRPr="00AC39E8">
        <w:rPr>
          <w:szCs w:val="28"/>
        </w:rPr>
        <w:t xml:space="preserve"> </w:t>
      </w:r>
      <w:r w:rsidR="00AC39D0">
        <w:rPr>
          <w:szCs w:val="28"/>
        </w:rPr>
        <w:t xml:space="preserve">было </w:t>
      </w:r>
      <w:r w:rsidR="001B10AA" w:rsidRPr="00AC39E8">
        <w:rPr>
          <w:szCs w:val="28"/>
        </w:rPr>
        <w:t xml:space="preserve">возбуждено </w:t>
      </w:r>
      <w:r w:rsidR="001B10AA">
        <w:rPr>
          <w:szCs w:val="28"/>
        </w:rPr>
        <w:t xml:space="preserve">два дела </w:t>
      </w:r>
      <w:r w:rsidR="001B10AA" w:rsidRPr="00AC39E8">
        <w:rPr>
          <w:szCs w:val="28"/>
        </w:rPr>
        <w:t xml:space="preserve">по </w:t>
      </w:r>
      <w:r w:rsidR="001B10AA">
        <w:rPr>
          <w:szCs w:val="28"/>
        </w:rPr>
        <w:t>признакам заключения «картельных» соглашений (</w:t>
      </w:r>
      <w:r w:rsidR="00AC39D0">
        <w:rPr>
          <w:szCs w:val="28"/>
        </w:rPr>
        <w:t>дело №</w:t>
      </w:r>
      <w:r w:rsidR="001B10AA" w:rsidRPr="001B10AA">
        <w:rPr>
          <w:szCs w:val="28"/>
        </w:rPr>
        <w:t>К17/5-11</w:t>
      </w:r>
      <w:r w:rsidR="00AC39D0">
        <w:rPr>
          <w:szCs w:val="28"/>
        </w:rPr>
        <w:t xml:space="preserve"> в отношении </w:t>
      </w:r>
      <w:r w:rsidR="001B10AA" w:rsidRPr="001B10AA">
        <w:rPr>
          <w:szCs w:val="28"/>
        </w:rPr>
        <w:t xml:space="preserve">ООО </w:t>
      </w:r>
      <w:r w:rsidR="00AC39D0">
        <w:rPr>
          <w:szCs w:val="28"/>
        </w:rPr>
        <w:t>«</w:t>
      </w:r>
      <w:r w:rsidR="001B10AA" w:rsidRPr="001B10AA">
        <w:rPr>
          <w:szCs w:val="28"/>
        </w:rPr>
        <w:t>МедПрима</w:t>
      </w:r>
      <w:r w:rsidR="00AC39D0">
        <w:rPr>
          <w:szCs w:val="28"/>
        </w:rPr>
        <w:t>»</w:t>
      </w:r>
      <w:r w:rsidR="001B10AA" w:rsidRPr="001B10AA">
        <w:rPr>
          <w:szCs w:val="28"/>
        </w:rPr>
        <w:t>, ИП Эдигер Ю.А.</w:t>
      </w:r>
      <w:r w:rsidR="00AC39D0">
        <w:rPr>
          <w:szCs w:val="28"/>
        </w:rPr>
        <w:t xml:space="preserve"> и дело № </w:t>
      </w:r>
      <w:r w:rsidR="00AC39D0" w:rsidRPr="001B10AA">
        <w:rPr>
          <w:szCs w:val="28"/>
        </w:rPr>
        <w:t>К17/6-11</w:t>
      </w:r>
      <w:r w:rsidR="00AC39D0" w:rsidRPr="001B10AA">
        <w:rPr>
          <w:szCs w:val="28"/>
        </w:rPr>
        <w:tab/>
      </w:r>
      <w:r w:rsidR="00AC39D0">
        <w:rPr>
          <w:szCs w:val="28"/>
        </w:rPr>
        <w:t xml:space="preserve"> </w:t>
      </w:r>
      <w:r w:rsidR="00AC39D0" w:rsidRPr="001B10AA">
        <w:rPr>
          <w:szCs w:val="28"/>
        </w:rPr>
        <w:t>ООО</w:t>
      </w:r>
      <w:r w:rsidR="00AC39D0">
        <w:rPr>
          <w:szCs w:val="28"/>
        </w:rPr>
        <w:t xml:space="preserve"> в отношении</w:t>
      </w:r>
      <w:r w:rsidR="00AC39D0" w:rsidRPr="001B10AA">
        <w:rPr>
          <w:szCs w:val="28"/>
        </w:rPr>
        <w:t xml:space="preserve"> </w:t>
      </w:r>
      <w:r w:rsidR="00AC39D0">
        <w:rPr>
          <w:szCs w:val="28"/>
        </w:rPr>
        <w:t>«</w:t>
      </w:r>
      <w:r w:rsidR="00AC39D0" w:rsidRPr="001B10AA">
        <w:rPr>
          <w:szCs w:val="28"/>
        </w:rPr>
        <w:t>СибтехСтандарт</w:t>
      </w:r>
      <w:r w:rsidR="00AC39D0">
        <w:rPr>
          <w:szCs w:val="28"/>
        </w:rPr>
        <w:t>»</w:t>
      </w:r>
      <w:r w:rsidR="00AC39D0" w:rsidRPr="001B10AA">
        <w:rPr>
          <w:szCs w:val="28"/>
        </w:rPr>
        <w:t xml:space="preserve">, ООО </w:t>
      </w:r>
      <w:r w:rsidR="00AC39D0">
        <w:rPr>
          <w:szCs w:val="28"/>
        </w:rPr>
        <w:t>«</w:t>
      </w:r>
      <w:r w:rsidR="00AC39D0" w:rsidRPr="001B10AA">
        <w:rPr>
          <w:szCs w:val="28"/>
        </w:rPr>
        <w:t>ОрисТехник</w:t>
      </w:r>
      <w:r w:rsidR="00AC39D0">
        <w:rPr>
          <w:szCs w:val="28"/>
        </w:rPr>
        <w:t>» и</w:t>
      </w:r>
      <w:r w:rsidR="00AC39D0" w:rsidRPr="001B10AA">
        <w:rPr>
          <w:szCs w:val="28"/>
        </w:rPr>
        <w:t xml:space="preserve"> ООО </w:t>
      </w:r>
      <w:r w:rsidR="00AC39D0">
        <w:rPr>
          <w:szCs w:val="28"/>
        </w:rPr>
        <w:t>«</w:t>
      </w:r>
      <w:r w:rsidR="00AC39D0" w:rsidRPr="001B10AA">
        <w:rPr>
          <w:szCs w:val="28"/>
        </w:rPr>
        <w:t>Цертус</w:t>
      </w:r>
      <w:r w:rsidR="00AC39D0">
        <w:rPr>
          <w:szCs w:val="28"/>
        </w:rPr>
        <w:t xml:space="preserve">»). </w:t>
      </w:r>
    </w:p>
    <w:p w:rsidR="00AC39D0" w:rsidRDefault="00AC39D0" w:rsidP="00344CBD">
      <w:pPr>
        <w:spacing w:before="120" w:line="276" w:lineRule="auto"/>
        <w:ind w:firstLine="454"/>
        <w:jc w:val="both"/>
        <w:rPr>
          <w:szCs w:val="28"/>
        </w:rPr>
      </w:pPr>
      <w:r>
        <w:rPr>
          <w:szCs w:val="28"/>
        </w:rPr>
        <w:t xml:space="preserve">В указанный период завершено рассмотрение </w:t>
      </w:r>
      <w:r w:rsidR="001B10AA">
        <w:rPr>
          <w:szCs w:val="28"/>
        </w:rPr>
        <w:t>дву</w:t>
      </w:r>
      <w:r>
        <w:rPr>
          <w:szCs w:val="28"/>
        </w:rPr>
        <w:t>х</w:t>
      </w:r>
      <w:r w:rsidR="001B10AA">
        <w:rPr>
          <w:szCs w:val="28"/>
        </w:rPr>
        <w:t xml:space="preserve"> дел</w:t>
      </w:r>
      <w:r w:rsidR="00B273EC" w:rsidRPr="00B273EC">
        <w:t xml:space="preserve"> </w:t>
      </w:r>
      <w:r w:rsidR="00B273EC">
        <w:t>(№</w:t>
      </w:r>
      <w:r w:rsidR="00B273EC" w:rsidRPr="00B273EC">
        <w:rPr>
          <w:szCs w:val="28"/>
        </w:rPr>
        <w:t>К16/34-11</w:t>
      </w:r>
      <w:r w:rsidR="00B273EC">
        <w:rPr>
          <w:szCs w:val="28"/>
        </w:rPr>
        <w:t xml:space="preserve"> и №</w:t>
      </w:r>
      <w:r w:rsidR="00B273EC" w:rsidRPr="00B273EC">
        <w:rPr>
          <w:szCs w:val="28"/>
        </w:rPr>
        <w:t>К16/65-11</w:t>
      </w:r>
      <w:r w:rsidR="00B273EC">
        <w:rPr>
          <w:szCs w:val="28"/>
        </w:rPr>
        <w:t>)</w:t>
      </w:r>
      <w:r w:rsidR="001B10AA">
        <w:rPr>
          <w:szCs w:val="28"/>
        </w:rPr>
        <w:t>, возбуждённы</w:t>
      </w:r>
      <w:r>
        <w:rPr>
          <w:szCs w:val="28"/>
        </w:rPr>
        <w:t xml:space="preserve">х в 2016 году по признакам </w:t>
      </w:r>
      <w:r w:rsidRPr="00AC39E8">
        <w:rPr>
          <w:szCs w:val="28"/>
        </w:rPr>
        <w:t>о нарушении запрета на ограничивающие конкуренцию соглашения</w:t>
      </w:r>
      <w:r w:rsidR="00D97F9E">
        <w:rPr>
          <w:szCs w:val="28"/>
        </w:rPr>
        <w:t>.</w:t>
      </w:r>
      <w:r>
        <w:rPr>
          <w:szCs w:val="28"/>
        </w:rPr>
        <w:t xml:space="preserve"> В качестве ответчиков </w:t>
      </w:r>
      <w:r w:rsidR="00B273EC">
        <w:rPr>
          <w:szCs w:val="28"/>
        </w:rPr>
        <w:t xml:space="preserve">при рассмотрении указанных дел </w:t>
      </w:r>
      <w:r w:rsidRPr="00AC39D0">
        <w:rPr>
          <w:szCs w:val="28"/>
        </w:rPr>
        <w:t xml:space="preserve"> </w:t>
      </w:r>
      <w:r>
        <w:rPr>
          <w:szCs w:val="28"/>
        </w:rPr>
        <w:t>был</w:t>
      </w:r>
      <w:r w:rsidR="00B273EC">
        <w:rPr>
          <w:szCs w:val="28"/>
        </w:rPr>
        <w:t>о</w:t>
      </w:r>
      <w:r>
        <w:rPr>
          <w:szCs w:val="28"/>
        </w:rPr>
        <w:t xml:space="preserve"> </w:t>
      </w:r>
      <w:r w:rsidRPr="00AC39E8">
        <w:rPr>
          <w:szCs w:val="28"/>
        </w:rPr>
        <w:t>привлечен</w:t>
      </w:r>
      <w:r w:rsidR="00B273EC">
        <w:rPr>
          <w:szCs w:val="28"/>
        </w:rPr>
        <w:t>о</w:t>
      </w:r>
      <w:r w:rsidRPr="00AC39E8">
        <w:rPr>
          <w:szCs w:val="28"/>
        </w:rPr>
        <w:t xml:space="preserve"> </w:t>
      </w:r>
      <w:r>
        <w:rPr>
          <w:szCs w:val="28"/>
        </w:rPr>
        <w:t>13</w:t>
      </w:r>
      <w:r w:rsidRPr="00AC39E8">
        <w:rPr>
          <w:szCs w:val="28"/>
        </w:rPr>
        <w:t xml:space="preserve"> хозяйствующих субъектов</w:t>
      </w:r>
      <w:r w:rsidRPr="00D97F9E">
        <w:rPr>
          <w:szCs w:val="28"/>
        </w:rPr>
        <w:t xml:space="preserve"> </w:t>
      </w:r>
      <w:r>
        <w:rPr>
          <w:szCs w:val="28"/>
        </w:rPr>
        <w:t>- участников торгов (электронных аукционов)</w:t>
      </w:r>
      <w:r w:rsidRPr="00AC39E8">
        <w:rPr>
          <w:szCs w:val="28"/>
        </w:rPr>
        <w:t>.</w:t>
      </w:r>
    </w:p>
    <w:p w:rsidR="00EC102A" w:rsidRPr="00AC39E8" w:rsidRDefault="00515393" w:rsidP="00344CBD">
      <w:pPr>
        <w:spacing w:before="120" w:line="276" w:lineRule="auto"/>
        <w:ind w:firstLine="454"/>
        <w:jc w:val="both"/>
        <w:rPr>
          <w:szCs w:val="28"/>
        </w:rPr>
      </w:pPr>
      <w:r>
        <w:rPr>
          <w:szCs w:val="28"/>
        </w:rPr>
        <w:t>По результатам рассмотрения</w:t>
      </w:r>
      <w:r w:rsidR="00B273EC">
        <w:rPr>
          <w:szCs w:val="28"/>
        </w:rPr>
        <w:t xml:space="preserve"> дел </w:t>
      </w:r>
      <w:r w:rsidR="00D97F9E">
        <w:rPr>
          <w:szCs w:val="28"/>
        </w:rPr>
        <w:t xml:space="preserve">в действиях </w:t>
      </w:r>
      <w:r w:rsidR="00B273EC">
        <w:rPr>
          <w:szCs w:val="28"/>
        </w:rPr>
        <w:t>1</w:t>
      </w:r>
      <w:r w:rsidR="00B36ACA">
        <w:rPr>
          <w:szCs w:val="28"/>
        </w:rPr>
        <w:t>3</w:t>
      </w:r>
      <w:r w:rsidR="00B273EC">
        <w:rPr>
          <w:szCs w:val="28"/>
        </w:rPr>
        <w:t xml:space="preserve"> </w:t>
      </w:r>
      <w:r w:rsidR="00D97F9E">
        <w:rPr>
          <w:szCs w:val="28"/>
        </w:rPr>
        <w:t xml:space="preserve">хозяйствующих субъектов  установлено наличие </w:t>
      </w:r>
      <w:r w:rsidR="00D97F9E" w:rsidRPr="00AC39E8">
        <w:rPr>
          <w:szCs w:val="28"/>
        </w:rPr>
        <w:t xml:space="preserve">нарушения пункта 2 </w:t>
      </w:r>
      <w:r w:rsidR="00B273EC">
        <w:rPr>
          <w:szCs w:val="28"/>
        </w:rPr>
        <w:t xml:space="preserve">части 1 </w:t>
      </w:r>
      <w:r w:rsidR="00D97F9E" w:rsidRPr="00AC39E8">
        <w:rPr>
          <w:szCs w:val="28"/>
        </w:rPr>
        <w:t xml:space="preserve">статьи 11 </w:t>
      </w:r>
      <w:r w:rsidR="00D97F9E">
        <w:rPr>
          <w:szCs w:val="28"/>
        </w:rPr>
        <w:t xml:space="preserve">Федерального </w:t>
      </w:r>
      <w:r w:rsidR="00D97F9E" w:rsidRPr="00AC39E8">
        <w:rPr>
          <w:szCs w:val="28"/>
        </w:rPr>
        <w:t>закона «О защите конкуренции»</w:t>
      </w:r>
      <w:r w:rsidR="00B273EC">
        <w:rPr>
          <w:szCs w:val="28"/>
        </w:rPr>
        <w:t xml:space="preserve">. Каждому участнику выявленных картельных соглашений </w:t>
      </w:r>
      <w:r w:rsidR="00EC102A" w:rsidRPr="00AC39E8">
        <w:rPr>
          <w:szCs w:val="28"/>
        </w:rPr>
        <w:t xml:space="preserve"> выдано предписани</w:t>
      </w:r>
      <w:r w:rsidR="00B273EC">
        <w:rPr>
          <w:szCs w:val="28"/>
        </w:rPr>
        <w:t>е</w:t>
      </w:r>
      <w:r w:rsidR="00F31B63" w:rsidRPr="00AC39E8">
        <w:rPr>
          <w:szCs w:val="28"/>
        </w:rPr>
        <w:t xml:space="preserve"> об устранении нарушения антимонопольного законодательства</w:t>
      </w:r>
      <w:r w:rsidR="00C7649D" w:rsidRPr="00AC39E8">
        <w:rPr>
          <w:szCs w:val="28"/>
        </w:rPr>
        <w:t xml:space="preserve">. </w:t>
      </w:r>
    </w:p>
    <w:p w:rsidR="00B273EC" w:rsidRPr="00B273EC" w:rsidRDefault="00B273EC" w:rsidP="00344CBD">
      <w:pPr>
        <w:spacing w:before="120" w:line="276" w:lineRule="auto"/>
        <w:ind w:firstLine="454"/>
        <w:jc w:val="both"/>
        <w:rPr>
          <w:szCs w:val="28"/>
        </w:rPr>
      </w:pPr>
      <w:r w:rsidRPr="00B273EC">
        <w:rPr>
          <w:szCs w:val="28"/>
        </w:rPr>
        <w:t>Основанием возбуждения дел явились поступившие в управление заявления</w:t>
      </w:r>
      <w:r>
        <w:rPr>
          <w:szCs w:val="28"/>
        </w:rPr>
        <w:t xml:space="preserve"> либо </w:t>
      </w:r>
      <w:r w:rsidR="001A59C2" w:rsidRPr="00B273EC">
        <w:rPr>
          <w:szCs w:val="28"/>
        </w:rPr>
        <w:t>переданн</w:t>
      </w:r>
      <w:r w:rsidR="001A59C2">
        <w:rPr>
          <w:szCs w:val="28"/>
        </w:rPr>
        <w:t>ые</w:t>
      </w:r>
      <w:r w:rsidR="001A59C2" w:rsidRPr="00B273EC">
        <w:rPr>
          <w:szCs w:val="28"/>
        </w:rPr>
        <w:t xml:space="preserve"> управлению правоохранительными органами и иными органами власти </w:t>
      </w:r>
      <w:r w:rsidRPr="00B273EC">
        <w:rPr>
          <w:szCs w:val="28"/>
        </w:rPr>
        <w:t>материал</w:t>
      </w:r>
      <w:r w:rsidR="001A59C2">
        <w:rPr>
          <w:szCs w:val="28"/>
        </w:rPr>
        <w:t>ы</w:t>
      </w:r>
      <w:r w:rsidRPr="00B273EC">
        <w:rPr>
          <w:szCs w:val="28"/>
        </w:rPr>
        <w:t>, указывающи</w:t>
      </w:r>
      <w:r w:rsidR="001A59C2">
        <w:rPr>
          <w:szCs w:val="28"/>
        </w:rPr>
        <w:t>е</w:t>
      </w:r>
      <w:r w:rsidRPr="00B273EC">
        <w:rPr>
          <w:szCs w:val="28"/>
        </w:rPr>
        <w:t xml:space="preserve"> на признаки нарушения участниками торгов (аукционов) требований о запрете заключения ограничивающих конкуренцию соглашений.</w:t>
      </w:r>
    </w:p>
    <w:p w:rsidR="00B65F95" w:rsidRPr="00AC39E8" w:rsidRDefault="00B746B3" w:rsidP="00344CBD">
      <w:pPr>
        <w:pStyle w:val="1"/>
        <w:widowControl w:val="0"/>
        <w:spacing w:before="120" w:line="276" w:lineRule="auto"/>
        <w:ind w:firstLine="454"/>
        <w:jc w:val="both"/>
        <w:rPr>
          <w:b w:val="0"/>
        </w:rPr>
      </w:pPr>
      <w:r w:rsidRPr="00AC39E8">
        <w:rPr>
          <w:b w:val="0"/>
        </w:rPr>
        <w:t xml:space="preserve">Ответственность за </w:t>
      </w:r>
      <w:r w:rsidR="00B65F95" w:rsidRPr="00AC39E8">
        <w:rPr>
          <w:b w:val="0"/>
        </w:rPr>
        <w:t xml:space="preserve">заключение ограничивающего конкуренцию соглашения предусмотрена в статье 14.32 КоАП РФ. Сумма штрафа определяется антимонопольным органом в зависимости от суммы  полученной  выручки или расходов  правонарушителя на приобретение товара, но не может быть менее 100 тысяч рублей </w:t>
      </w:r>
    </w:p>
    <w:p w:rsidR="00814601" w:rsidRPr="00AC39E8" w:rsidRDefault="00E72BAB" w:rsidP="00344CBD">
      <w:pPr>
        <w:widowControl w:val="0"/>
        <w:spacing w:before="120" w:line="276" w:lineRule="auto"/>
        <w:ind w:firstLine="454"/>
        <w:jc w:val="both"/>
        <w:rPr>
          <w:szCs w:val="28"/>
        </w:rPr>
      </w:pPr>
      <w:r w:rsidRPr="00E72BAB">
        <w:rPr>
          <w:szCs w:val="28"/>
        </w:rPr>
        <w:t xml:space="preserve">Суммарный размер штрафных санкций по выявленным в 2016-2017 году фактам заключения картельных соглашений (по завершённым на сегодняшний день административным делам), составил 3 314 тыс. рублей. </w:t>
      </w:r>
    </w:p>
    <w:p w:rsidR="009F5ADD" w:rsidRPr="00AC39E8" w:rsidRDefault="009F5ADD" w:rsidP="00344CBD">
      <w:pPr>
        <w:autoSpaceDE w:val="0"/>
        <w:autoSpaceDN w:val="0"/>
        <w:adjustRightInd w:val="0"/>
        <w:spacing w:before="120" w:line="276" w:lineRule="auto"/>
        <w:ind w:firstLine="454"/>
        <w:jc w:val="both"/>
        <w:rPr>
          <w:szCs w:val="28"/>
        </w:rPr>
      </w:pPr>
      <w:r w:rsidRPr="00AC39E8">
        <w:rPr>
          <w:szCs w:val="28"/>
        </w:rPr>
        <w:t xml:space="preserve">Далее приведено описание </w:t>
      </w:r>
      <w:r w:rsidR="000A46E8">
        <w:rPr>
          <w:szCs w:val="28"/>
        </w:rPr>
        <w:t xml:space="preserve">наиболее значимого </w:t>
      </w:r>
      <w:r w:rsidRPr="00AC39E8">
        <w:rPr>
          <w:szCs w:val="28"/>
        </w:rPr>
        <w:t>дел</w:t>
      </w:r>
      <w:r w:rsidR="008965C7">
        <w:rPr>
          <w:szCs w:val="28"/>
        </w:rPr>
        <w:t>а</w:t>
      </w:r>
      <w:r w:rsidRPr="00AC39E8">
        <w:rPr>
          <w:szCs w:val="28"/>
        </w:rPr>
        <w:t xml:space="preserve"> </w:t>
      </w:r>
      <w:r w:rsidR="00CB0060" w:rsidRPr="009F5ADD">
        <w:t xml:space="preserve">№К16/65-11 </w:t>
      </w:r>
      <w:r w:rsidR="00DE5AD2">
        <w:rPr>
          <w:szCs w:val="28"/>
        </w:rPr>
        <w:t xml:space="preserve">по которому </w:t>
      </w:r>
      <w:r w:rsidR="00DE5AD2" w:rsidRPr="00AC39E8">
        <w:rPr>
          <w:szCs w:val="28"/>
        </w:rPr>
        <w:t>в первом полугодии 2017 года</w:t>
      </w:r>
      <w:r w:rsidR="00DE5AD2" w:rsidRPr="00F24F74">
        <w:rPr>
          <w:szCs w:val="28"/>
        </w:rPr>
        <w:t xml:space="preserve"> </w:t>
      </w:r>
      <w:r w:rsidR="00DE5AD2">
        <w:rPr>
          <w:szCs w:val="28"/>
        </w:rPr>
        <w:t>У</w:t>
      </w:r>
      <w:r w:rsidR="00DE5AD2" w:rsidRPr="00AC39E8">
        <w:rPr>
          <w:szCs w:val="28"/>
        </w:rPr>
        <w:t>правление</w:t>
      </w:r>
      <w:r w:rsidR="00DE5AD2">
        <w:rPr>
          <w:szCs w:val="28"/>
        </w:rPr>
        <w:t xml:space="preserve"> вынесло решение</w:t>
      </w:r>
      <w:r w:rsidR="00DE5AD2" w:rsidRPr="00AC39E8">
        <w:rPr>
          <w:szCs w:val="28"/>
        </w:rPr>
        <w:t xml:space="preserve"> </w:t>
      </w:r>
      <w:r w:rsidRPr="00AC39E8">
        <w:rPr>
          <w:szCs w:val="28"/>
        </w:rPr>
        <w:t>о нарушении статьи 1</w:t>
      </w:r>
      <w:r>
        <w:rPr>
          <w:szCs w:val="28"/>
        </w:rPr>
        <w:t>1</w:t>
      </w:r>
      <w:r w:rsidRPr="00AC39E8">
        <w:rPr>
          <w:szCs w:val="28"/>
        </w:rPr>
        <w:t xml:space="preserve"> Федерального закона «О защите конкуренции»</w:t>
      </w:r>
      <w:r w:rsidR="00CB0060">
        <w:rPr>
          <w:szCs w:val="28"/>
        </w:rPr>
        <w:t>.</w:t>
      </w:r>
      <w:r w:rsidRPr="00AC39E8">
        <w:rPr>
          <w:szCs w:val="28"/>
        </w:rPr>
        <w:t xml:space="preserve"> </w:t>
      </w:r>
    </w:p>
    <w:p w:rsidR="00DE5AD2" w:rsidRPr="00A231B5" w:rsidRDefault="00DE5AD2" w:rsidP="000A46E8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A231B5">
        <w:rPr>
          <w:szCs w:val="28"/>
        </w:rPr>
        <w:t xml:space="preserve">о информации ОЭБиПК УМВД России по г.Тюмени Тюменским УФАС России было возбуждено и рассмотрено дело </w:t>
      </w:r>
      <w:r w:rsidRPr="009F5ADD">
        <w:t xml:space="preserve">№К16/65-11 </w:t>
      </w:r>
      <w:r w:rsidRPr="00A231B5">
        <w:rPr>
          <w:szCs w:val="28"/>
        </w:rPr>
        <w:t xml:space="preserve">по факту заключения </w:t>
      </w:r>
      <w:r>
        <w:rPr>
          <w:szCs w:val="28"/>
        </w:rPr>
        <w:t xml:space="preserve">поставщиками медицинских товаров </w:t>
      </w:r>
      <w:r w:rsidRPr="00A231B5">
        <w:rPr>
          <w:szCs w:val="28"/>
        </w:rPr>
        <w:t>ООО «ЭЛЕКТРА», ООО «СПЕКТР», ООО «ЛИВАДИЯ», ООО «Региональная медицинская компания», ООО «ИРВИН), ООО «НЕОМЕД», ООО «ЭКСПО», ООО «ВЕРДАНА» картельн</w:t>
      </w:r>
      <w:r>
        <w:rPr>
          <w:szCs w:val="28"/>
        </w:rPr>
        <w:t>ых</w:t>
      </w:r>
      <w:r w:rsidRPr="00A231B5">
        <w:rPr>
          <w:szCs w:val="28"/>
        </w:rPr>
        <w:t xml:space="preserve"> соглашени</w:t>
      </w:r>
      <w:r>
        <w:rPr>
          <w:szCs w:val="28"/>
        </w:rPr>
        <w:t>й</w:t>
      </w:r>
      <w:r w:rsidRPr="00A231B5">
        <w:rPr>
          <w:szCs w:val="28"/>
        </w:rPr>
        <w:t>, направленн</w:t>
      </w:r>
      <w:r>
        <w:rPr>
          <w:szCs w:val="28"/>
        </w:rPr>
        <w:t>ых</w:t>
      </w:r>
      <w:r w:rsidRPr="00A231B5">
        <w:rPr>
          <w:szCs w:val="28"/>
        </w:rPr>
        <w:t xml:space="preserve"> на поддержание цен на торгах.</w:t>
      </w:r>
    </w:p>
    <w:p w:rsidR="00F24F74" w:rsidRPr="00F24F74" w:rsidRDefault="00F24F74" w:rsidP="00B36ACA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  <w:shd w:val="clear" w:color="auto" w:fill="FFFFFF"/>
        </w:rPr>
      </w:pPr>
      <w:r w:rsidRPr="00F24F74">
        <w:rPr>
          <w:szCs w:val="28"/>
        </w:rPr>
        <w:t>В ходе рассмотрения дела было установлено, что в</w:t>
      </w:r>
      <w:r w:rsidRPr="00F24F74">
        <w:rPr>
          <w:color w:val="00000A"/>
          <w:szCs w:val="28"/>
        </w:rPr>
        <w:t xml:space="preserve"> 2013-2015 гг. был </w:t>
      </w:r>
      <w:r w:rsidR="00B36ACA" w:rsidRPr="00F24F74">
        <w:rPr>
          <w:color w:val="00000A"/>
          <w:szCs w:val="28"/>
        </w:rPr>
        <w:t>проведён</w:t>
      </w:r>
      <w:r w:rsidRPr="00F24F74">
        <w:rPr>
          <w:color w:val="00000A"/>
          <w:szCs w:val="28"/>
        </w:rPr>
        <w:t xml:space="preserve"> ряд закупок в форме электронных аукционов для нужд медицинских учреждений системы здравоохранения Российской Федерации, заказчиками по которым выступили </w:t>
      </w:r>
      <w:r w:rsidRPr="00F24F74">
        <w:rPr>
          <w:rFonts w:eastAsia="Mangal"/>
          <w:color w:val="00000A"/>
          <w:szCs w:val="28"/>
        </w:rPr>
        <w:t xml:space="preserve">Департамент здравоохранения Тюменской области, ГБОУ ВПО "Тюменская государственная медицинская академия" Министерства здравоохранения Российской Федерации, ГБУЗ ТО "Областная клиническая больница №1", ГБУЗ ТО "Областная клиническая больница №2" и другие организации. </w:t>
      </w:r>
      <w:r w:rsidRPr="00F24F74">
        <w:rPr>
          <w:color w:val="000000"/>
          <w:szCs w:val="28"/>
          <w:shd w:val="clear" w:color="auto" w:fill="FFFFFF"/>
        </w:rPr>
        <w:t>Предметом торгов являлась поставка медицинского оборудования, изделий медицинского назначения и расходных материалов, используемых в медицине.</w:t>
      </w:r>
    </w:p>
    <w:p w:rsidR="00F24F74" w:rsidRPr="00F24F74" w:rsidRDefault="00F24F74" w:rsidP="000A46E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  <w:shd w:val="clear" w:color="auto" w:fill="FFFFFF"/>
        </w:rPr>
      </w:pPr>
      <w:r w:rsidRPr="00F24F74">
        <w:rPr>
          <w:szCs w:val="28"/>
        </w:rPr>
        <w:t xml:space="preserve">В ходе рассмотрения дела </w:t>
      </w:r>
      <w:r w:rsidRPr="00F24F74">
        <w:rPr>
          <w:color w:val="000000"/>
          <w:szCs w:val="28"/>
          <w:shd w:val="clear" w:color="auto" w:fill="FFFFFF"/>
        </w:rPr>
        <w:t>Управлением был выявлен 131 электронный аукцион, в которых принимали участие указанные выше компании.</w:t>
      </w:r>
    </w:p>
    <w:p w:rsidR="00DE5AD2" w:rsidRDefault="00B36ACA" w:rsidP="000A46E8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З</w:t>
      </w:r>
      <w:r w:rsidRPr="00F24F74">
        <w:rPr>
          <w:szCs w:val="28"/>
        </w:rPr>
        <w:t>аяв</w:t>
      </w:r>
      <w:r>
        <w:rPr>
          <w:szCs w:val="28"/>
        </w:rPr>
        <w:t xml:space="preserve">ившись </w:t>
      </w:r>
      <w:r w:rsidRPr="00F24F74">
        <w:rPr>
          <w:szCs w:val="28"/>
        </w:rPr>
        <w:t xml:space="preserve"> </w:t>
      </w:r>
      <w:r w:rsidR="00F24F74" w:rsidRPr="00F24F74">
        <w:rPr>
          <w:szCs w:val="28"/>
        </w:rPr>
        <w:t xml:space="preserve">на участие в </w:t>
      </w:r>
      <w:r w:rsidR="00F24F74" w:rsidRPr="00F24F74">
        <w:rPr>
          <w:szCs w:val="28"/>
          <w:shd w:val="clear" w:color="auto" w:fill="FFFFFF"/>
        </w:rPr>
        <w:t xml:space="preserve">указанных </w:t>
      </w:r>
      <w:r w:rsidR="00F24F74" w:rsidRPr="00F24F74">
        <w:rPr>
          <w:szCs w:val="28"/>
        </w:rPr>
        <w:t>электронных аукционах</w:t>
      </w:r>
      <w:r w:rsidRPr="00B36ACA">
        <w:rPr>
          <w:szCs w:val="28"/>
        </w:rPr>
        <w:t xml:space="preserve"> </w:t>
      </w:r>
      <w:r>
        <w:rPr>
          <w:szCs w:val="28"/>
        </w:rPr>
        <w:t>с</w:t>
      </w:r>
      <w:r w:rsidRPr="00F24F74">
        <w:rPr>
          <w:szCs w:val="28"/>
        </w:rPr>
        <w:t>овместно</w:t>
      </w:r>
      <w:r w:rsidR="00F24F74" w:rsidRPr="00F24F74">
        <w:rPr>
          <w:szCs w:val="28"/>
        </w:rPr>
        <w:t xml:space="preserve">, вышеуказанные компании действовали по отработанной схеме: в аукционе, как правило, принимали участие 2 компании - «компания-победитель» и «компания-статист»; каждая из компаний делала по одному ценовому предложению; первой ценовое предложение подавала «компания-статист», а затем </w:t>
      </w:r>
      <w:r w:rsidRPr="00F24F74">
        <w:rPr>
          <w:szCs w:val="28"/>
        </w:rPr>
        <w:t>своё</w:t>
      </w:r>
      <w:r w:rsidR="00F24F74" w:rsidRPr="00F24F74">
        <w:rPr>
          <w:szCs w:val="28"/>
        </w:rPr>
        <w:t xml:space="preserve"> ценовое предложение делала «компания-победитель»; после ценового предложения, сделанного «компанией-победителем», «компания-статист» цену контракта далее не снижала, вела себя пассивно, в результате чего победителем становилась заранее </w:t>
      </w:r>
      <w:r w:rsidRPr="00F24F74">
        <w:rPr>
          <w:szCs w:val="28"/>
        </w:rPr>
        <w:t>определённая</w:t>
      </w:r>
      <w:r w:rsidR="00F24F74" w:rsidRPr="00F24F74">
        <w:rPr>
          <w:szCs w:val="28"/>
        </w:rPr>
        <w:t xml:space="preserve"> на эту роль компания. </w:t>
      </w:r>
    </w:p>
    <w:p w:rsidR="00F24F74" w:rsidRPr="00F24F74" w:rsidRDefault="00F24F74" w:rsidP="000A46E8">
      <w:pPr>
        <w:spacing w:line="276" w:lineRule="auto"/>
        <w:ind w:firstLine="567"/>
        <w:jc w:val="both"/>
        <w:rPr>
          <w:szCs w:val="28"/>
        </w:rPr>
      </w:pPr>
      <w:r w:rsidRPr="00F24F74">
        <w:rPr>
          <w:szCs w:val="28"/>
        </w:rPr>
        <w:t xml:space="preserve">Таким образом, после ценового предложения «компании-победителя», «компания-статист» отказывалась от конкурентной борьбы в пользу заранее определенной на роль победителя компании. </w:t>
      </w:r>
      <w:r w:rsidRPr="00F24F74">
        <w:rPr>
          <w:color w:val="000000"/>
          <w:szCs w:val="28"/>
        </w:rPr>
        <w:t xml:space="preserve">Отказ </w:t>
      </w:r>
      <w:r w:rsidRPr="00F24F74">
        <w:rPr>
          <w:szCs w:val="28"/>
        </w:rPr>
        <w:t>«компании-статиста»</w:t>
      </w:r>
      <w:r w:rsidRPr="00F24F74">
        <w:rPr>
          <w:color w:val="000000"/>
          <w:szCs w:val="28"/>
        </w:rPr>
        <w:t xml:space="preserve"> от подачи соответствующего ценового предложения свидетельствует об имеющейся договоренности, поскольку подобные действия </w:t>
      </w:r>
      <w:r w:rsidRPr="00F24F74">
        <w:rPr>
          <w:rFonts w:eastAsia="TimesNewRomanPSMT"/>
          <w:color w:val="000000"/>
          <w:szCs w:val="28"/>
          <w:shd w:val="clear" w:color="auto" w:fill="FFFFFF"/>
        </w:rPr>
        <w:t xml:space="preserve">схожи с заранее оговоренными действиями в интересах друг друга по достижению единых целей. </w:t>
      </w:r>
      <w:r w:rsidRPr="00F24F74">
        <w:rPr>
          <w:color w:val="000000"/>
          <w:szCs w:val="28"/>
        </w:rPr>
        <w:t>Таким образом, одна из компаний принимала участие в торгах лишь номинально, с целью имитации конкуренции.</w:t>
      </w:r>
    </w:p>
    <w:p w:rsidR="00F24F74" w:rsidRPr="00F24F74" w:rsidRDefault="00F24F74" w:rsidP="000A46E8">
      <w:pPr>
        <w:spacing w:line="276" w:lineRule="auto"/>
        <w:ind w:firstLine="567"/>
        <w:jc w:val="both"/>
        <w:rPr>
          <w:szCs w:val="28"/>
        </w:rPr>
      </w:pPr>
      <w:r w:rsidRPr="00DE5AD2">
        <w:rPr>
          <w:bCs/>
          <w:szCs w:val="28"/>
        </w:rPr>
        <w:t>Одновременная подача заявок на участие в перечисленных электронных аукционах свидетельствует о скоординированности действий участников Соглашения.</w:t>
      </w:r>
    </w:p>
    <w:p w:rsidR="00DE5AD2" w:rsidRDefault="00F24F74" w:rsidP="000A46E8">
      <w:pPr>
        <w:spacing w:line="276" w:lineRule="auto"/>
        <w:ind w:firstLine="567"/>
        <w:jc w:val="both"/>
        <w:rPr>
          <w:b/>
          <w:szCs w:val="28"/>
        </w:rPr>
      </w:pPr>
      <w:r w:rsidRPr="00F24F74">
        <w:rPr>
          <w:szCs w:val="28"/>
        </w:rPr>
        <w:t>Свидетельством наличия картеля является также использование компаниями единой инфраструктуры</w:t>
      </w:r>
      <w:r w:rsidR="00DE5AD2">
        <w:rPr>
          <w:szCs w:val="28"/>
        </w:rPr>
        <w:t>:</w:t>
      </w:r>
      <w:r w:rsidR="00DE5AD2" w:rsidRPr="00DE5AD2">
        <w:rPr>
          <w:rFonts w:eastAsia="TimesNewRomanPSMT"/>
          <w:color w:val="000000"/>
          <w:szCs w:val="28"/>
          <w:shd w:val="clear" w:color="auto" w:fill="FFFFFF"/>
        </w:rPr>
        <w:t xml:space="preserve"> </w:t>
      </w:r>
      <w:r w:rsidR="00DE5AD2" w:rsidRPr="00F24F74">
        <w:rPr>
          <w:rFonts w:eastAsia="TimesNewRomanPSMT"/>
          <w:color w:val="000000"/>
          <w:szCs w:val="28"/>
          <w:shd w:val="clear" w:color="auto" w:fill="FFFFFF"/>
        </w:rPr>
        <w:t>единый набор</w:t>
      </w:r>
      <w:r w:rsidR="00DE5AD2" w:rsidRPr="00F24F74">
        <w:rPr>
          <w:szCs w:val="28"/>
        </w:rPr>
        <w:t xml:space="preserve"> </w:t>
      </w:r>
      <w:r w:rsidR="00DE5AD2" w:rsidRPr="00F24F74">
        <w:rPr>
          <w:rFonts w:eastAsia="TimesNewRomanPSMT"/>
          <w:color w:val="000000"/>
          <w:szCs w:val="28"/>
          <w:shd w:val="clear" w:color="auto" w:fill="FFFFFF"/>
          <w:lang w:val="en-US"/>
        </w:rPr>
        <w:t>IP</w:t>
      </w:r>
      <w:r w:rsidR="00DE5AD2" w:rsidRPr="00F24F74">
        <w:rPr>
          <w:rFonts w:eastAsia="TimesNewRomanPSMT"/>
          <w:color w:val="000000"/>
          <w:szCs w:val="28"/>
          <w:shd w:val="clear" w:color="auto" w:fill="FFFFFF"/>
        </w:rPr>
        <w:t xml:space="preserve">-адресов, </w:t>
      </w:r>
      <w:r w:rsidR="00DE5AD2" w:rsidRPr="00F24F74">
        <w:rPr>
          <w:rFonts w:eastAsia="TimesNewRomanPSMT"/>
          <w:color w:val="000000"/>
          <w:szCs w:val="28"/>
        </w:rPr>
        <w:t>места фактического расположения, компьютерную технику и т.д.</w:t>
      </w:r>
      <w:r w:rsidRPr="00F24F74">
        <w:rPr>
          <w:b/>
          <w:szCs w:val="28"/>
        </w:rPr>
        <w:t xml:space="preserve"> </w:t>
      </w:r>
    </w:p>
    <w:p w:rsidR="00DE5AD2" w:rsidRDefault="00F24F74" w:rsidP="000A46E8">
      <w:pPr>
        <w:spacing w:line="276" w:lineRule="auto"/>
        <w:ind w:firstLine="567"/>
        <w:jc w:val="both"/>
        <w:rPr>
          <w:rFonts w:eastAsia="TimesNewRomanPSMT"/>
          <w:szCs w:val="28"/>
          <w:shd w:val="clear" w:color="auto" w:fill="FFFFFF"/>
        </w:rPr>
      </w:pPr>
      <w:r w:rsidRPr="00F24F74">
        <w:rPr>
          <w:rFonts w:eastAsia="TimesNewRomanPSMT"/>
          <w:szCs w:val="28"/>
          <w:shd w:val="clear" w:color="auto" w:fill="FFFFFF"/>
        </w:rPr>
        <w:t>Факт существования между компаниями картельных соглашений был установлен также материалами уголовного дела, которые были предоставлены следователями</w:t>
      </w:r>
      <w:r w:rsidRPr="00F24F74">
        <w:rPr>
          <w:szCs w:val="28"/>
        </w:rPr>
        <w:t xml:space="preserve"> СУ СК РФ по Тюменской области</w:t>
      </w:r>
      <w:r w:rsidRPr="00F24F74">
        <w:rPr>
          <w:rFonts w:eastAsia="TimesNewRomanPSMT"/>
          <w:szCs w:val="28"/>
          <w:shd w:val="clear" w:color="auto" w:fill="FFFFFF"/>
        </w:rPr>
        <w:t xml:space="preserve">. </w:t>
      </w:r>
    </w:p>
    <w:p w:rsidR="00F24F74" w:rsidRPr="00F24F74" w:rsidRDefault="00F24F74" w:rsidP="000A46E8">
      <w:pPr>
        <w:spacing w:line="276" w:lineRule="auto"/>
        <w:ind w:firstLine="567"/>
        <w:jc w:val="both"/>
        <w:rPr>
          <w:rFonts w:eastAsia="TimesNewRomanPSMT"/>
          <w:color w:val="000000"/>
          <w:szCs w:val="28"/>
          <w:shd w:val="clear" w:color="auto" w:fill="FFFFFF"/>
        </w:rPr>
      </w:pPr>
      <w:r w:rsidRPr="00F24F74">
        <w:rPr>
          <w:rFonts w:eastAsia="TimesNewRomanPSMT"/>
          <w:szCs w:val="28"/>
          <w:shd w:val="clear" w:color="auto" w:fill="FFFFFF"/>
        </w:rPr>
        <w:t xml:space="preserve">Из представленных материалов следует, что сотрудники компаний осуществляли </w:t>
      </w:r>
      <w:r w:rsidRPr="00F24F74">
        <w:rPr>
          <w:rFonts w:eastAsia="TimesNewRomanPSMT"/>
          <w:color w:val="000000"/>
          <w:szCs w:val="28"/>
          <w:shd w:val="clear" w:color="auto" w:fill="FFFFFF"/>
        </w:rPr>
        <w:t>от этих компаний участие в торгах на электронных аукционах с помощью предоставленных им электронных ключей, зарегистрированных на руководителей компаний. При этом участвовало как минимум несколько таких компаний, чтобы со стороны не возникло подозрений в незаконность выигрыша госконтрактов. Сотрудники с помощью электронных ключей участвовали с компьютеров этих компаний в электронных торгах, при этом некоторые компании уменьшали цену по контракту на незначительную сумму, чтобы не было подозрений в незаконности торгов. В дальнейшем одна из указанных компаний выигрывала конкурс, а сотрудники других компаний поставляли медицинское оборудование и реагенты в государственные медицинские учреждения.</w:t>
      </w:r>
    </w:p>
    <w:p w:rsidR="00F24F74" w:rsidRPr="00F24F74" w:rsidRDefault="00F24F74" w:rsidP="000A46E8">
      <w:pPr>
        <w:spacing w:line="276" w:lineRule="auto"/>
        <w:ind w:firstLine="567"/>
        <w:jc w:val="both"/>
        <w:rPr>
          <w:rFonts w:eastAsia="TimesNewRomanPSMT"/>
          <w:color w:val="000000"/>
          <w:szCs w:val="28"/>
          <w:shd w:val="clear" w:color="auto" w:fill="FFFFFF"/>
        </w:rPr>
      </w:pPr>
      <w:r w:rsidRPr="00F24F74">
        <w:rPr>
          <w:rFonts w:eastAsia="TimesNewRomanPSMT"/>
          <w:color w:val="000000"/>
          <w:szCs w:val="28"/>
          <w:shd w:val="clear" w:color="auto" w:fill="FFFFFF"/>
        </w:rPr>
        <w:t xml:space="preserve">Факт наличия между компаниями картельных соглашений также подтверждается заявлениями </w:t>
      </w:r>
      <w:r w:rsidRPr="00F24F74">
        <w:rPr>
          <w:szCs w:val="28"/>
        </w:rPr>
        <w:t xml:space="preserve">ООО «ЭКСПО», ООО «Региональная медицинская компания», ООО «ЭЛЕКТРА», ООО «СПЕКТР» и ООО «НЕОМЕД», которые были ими поданы в рамках «программы смягчения наказания», в которых </w:t>
      </w:r>
      <w:r w:rsidRPr="00F24F74">
        <w:rPr>
          <w:rFonts w:eastAsia="TimesNewRomanPSMT"/>
          <w:color w:val="000000"/>
          <w:szCs w:val="28"/>
          <w:shd w:val="clear" w:color="auto" w:fill="FFFFFF"/>
        </w:rPr>
        <w:t xml:space="preserve">компании </w:t>
      </w:r>
      <w:r w:rsidRPr="00F24F74">
        <w:rPr>
          <w:szCs w:val="28"/>
        </w:rPr>
        <w:t>признают факт заключения картельных соглашений с целью поддержания цен на торгах.</w:t>
      </w:r>
    </w:p>
    <w:p w:rsidR="00F24F74" w:rsidRPr="00F24F74" w:rsidRDefault="00F24F74" w:rsidP="000A46E8">
      <w:pPr>
        <w:spacing w:line="276" w:lineRule="auto"/>
        <w:ind w:firstLine="720"/>
        <w:jc w:val="both"/>
        <w:rPr>
          <w:szCs w:val="28"/>
        </w:rPr>
      </w:pPr>
      <w:r w:rsidRPr="00F24F74">
        <w:rPr>
          <w:iCs/>
          <w:color w:val="000000"/>
          <w:szCs w:val="28"/>
        </w:rPr>
        <w:t>Как следует из совокупности документов и информации, имеющихся в материалах дела, перечисленные выше компании</w:t>
      </w:r>
      <w:r w:rsidR="00B36ACA">
        <w:rPr>
          <w:iCs/>
          <w:color w:val="000000"/>
          <w:szCs w:val="28"/>
        </w:rPr>
        <w:t>,</w:t>
      </w:r>
      <w:r w:rsidRPr="00F24F74">
        <w:rPr>
          <w:iCs/>
          <w:color w:val="000000"/>
          <w:szCs w:val="28"/>
        </w:rPr>
        <w:t xml:space="preserve"> вступили в устные картельные соглашения, целью которых было обеспечение победы на торгах участников картеля и заключение государственных контрактов по максимально высокой цене. Реализация соглашений происходила в 2013-2015 гг., в том числе путем совместного и согласованного участия в исследованных аукционах.</w:t>
      </w:r>
    </w:p>
    <w:p w:rsidR="00F24F74" w:rsidRPr="00F24F74" w:rsidRDefault="00F24F74" w:rsidP="000A46E8">
      <w:pPr>
        <w:spacing w:line="276" w:lineRule="auto"/>
        <w:ind w:firstLine="720"/>
        <w:jc w:val="both"/>
        <w:rPr>
          <w:szCs w:val="28"/>
        </w:rPr>
      </w:pPr>
      <w:r w:rsidRPr="00F24F74">
        <w:rPr>
          <w:bCs/>
          <w:szCs w:val="28"/>
        </w:rPr>
        <w:t xml:space="preserve">По оценке Тюменского УФАС России, в результате реализации картельных соглашений </w:t>
      </w:r>
      <w:r w:rsidRPr="00F24F74">
        <w:rPr>
          <w:szCs w:val="28"/>
        </w:rPr>
        <w:t>компаниями получен</w:t>
      </w:r>
      <w:r w:rsidRPr="00F24F74">
        <w:rPr>
          <w:bCs/>
          <w:szCs w:val="28"/>
        </w:rPr>
        <w:t xml:space="preserve"> совокупный доход в размере </w:t>
      </w:r>
      <w:r w:rsidRPr="00F24F74">
        <w:rPr>
          <w:bCs/>
          <w:color w:val="000000"/>
          <w:szCs w:val="28"/>
        </w:rPr>
        <w:t>1,12 млд.</w:t>
      </w:r>
      <w:r w:rsidRPr="00F24F74">
        <w:rPr>
          <w:szCs w:val="28"/>
        </w:rPr>
        <w:t xml:space="preserve"> рублей.</w:t>
      </w:r>
    </w:p>
    <w:p w:rsidR="00F24F74" w:rsidRPr="00F24F74" w:rsidRDefault="00F24F74" w:rsidP="000A46E8">
      <w:pPr>
        <w:spacing w:line="276" w:lineRule="auto"/>
        <w:ind w:firstLine="720"/>
        <w:jc w:val="both"/>
        <w:rPr>
          <w:szCs w:val="28"/>
        </w:rPr>
      </w:pPr>
      <w:r w:rsidRPr="00F24F74">
        <w:rPr>
          <w:szCs w:val="28"/>
        </w:rPr>
        <w:t xml:space="preserve">Поскольку в действиях должностных лиц вышеуказанных компаний имеются признаки состава уголовного преступления, предусмотренного ст. 178 УК РФ («Ограничение конкуренции»), материалы указанного дела были направлены Тюменским УФАС России </w:t>
      </w:r>
      <w:r w:rsidR="00B36ACA">
        <w:rPr>
          <w:szCs w:val="28"/>
        </w:rPr>
        <w:t>правоохранительные органы.</w:t>
      </w:r>
      <w:r w:rsidRPr="00F24F74">
        <w:rPr>
          <w:szCs w:val="28"/>
        </w:rPr>
        <w:t xml:space="preserve"> </w:t>
      </w:r>
    </w:p>
    <w:p w:rsidR="004954D1" w:rsidRPr="00AC39E8" w:rsidRDefault="004954D1" w:rsidP="00344CBD">
      <w:pPr>
        <w:pStyle w:val="1"/>
        <w:widowControl w:val="0"/>
        <w:spacing w:before="120" w:line="276" w:lineRule="auto"/>
        <w:ind w:firstLine="454"/>
        <w:jc w:val="both"/>
      </w:pPr>
      <w:r w:rsidRPr="00AC39E8">
        <w:t>Контроль соблюдения Феде</w:t>
      </w:r>
      <w:r w:rsidR="006473EE" w:rsidRPr="00AC39E8">
        <w:t>рального закона от 28.12.2009</w:t>
      </w:r>
      <w:r w:rsidR="00D9587E" w:rsidRPr="00AC39E8">
        <w:br/>
      </w:r>
      <w:r w:rsidR="006473EE" w:rsidRPr="00AC39E8">
        <w:t>№</w:t>
      </w:r>
      <w:r w:rsidR="00D9587E" w:rsidRPr="00AC39E8">
        <w:t xml:space="preserve"> </w:t>
      </w:r>
      <w:r w:rsidRPr="00AC39E8">
        <w:t>381-ФЗ «Об основах государственного регулирования торговой деятельности в Российской Федерации» (далее – Закон о торговле)</w:t>
      </w:r>
    </w:p>
    <w:p w:rsidR="00BF6937" w:rsidRPr="003C31FE" w:rsidRDefault="00BF6937" w:rsidP="00344CBD">
      <w:pPr>
        <w:spacing w:before="120" w:line="276" w:lineRule="auto"/>
        <w:ind w:firstLine="454"/>
        <w:jc w:val="both"/>
        <w:rPr>
          <w:szCs w:val="26"/>
        </w:rPr>
      </w:pPr>
      <w:r w:rsidRPr="003C31FE">
        <w:rPr>
          <w:szCs w:val="26"/>
        </w:rPr>
        <w:t xml:space="preserve">В 2017 году  Тюменским УФАС России </w:t>
      </w:r>
      <w:r>
        <w:rPr>
          <w:szCs w:val="26"/>
        </w:rPr>
        <w:t xml:space="preserve">было </w:t>
      </w:r>
      <w:r w:rsidRPr="003C31FE">
        <w:rPr>
          <w:szCs w:val="26"/>
        </w:rPr>
        <w:t xml:space="preserve">рассмотрено одно заявление о нарушении </w:t>
      </w:r>
      <w:r>
        <w:rPr>
          <w:szCs w:val="26"/>
        </w:rPr>
        <w:t xml:space="preserve">требований, установленных в </w:t>
      </w:r>
      <w:r w:rsidRPr="003C31FE">
        <w:rPr>
          <w:szCs w:val="26"/>
        </w:rPr>
        <w:t>ст.13 Закона о торговле. Данное заявление поступило в отношении ООО «Ашан» от поставщика продовольственных товаров, однако позднее было отозвано его подателем. Несмотря на отзыв заявления, Тюменским УФАС России направлены соответствующие запросы и исследованы взаимоотношения торговой сети с поставщиком, по результатам рассмотрения заявления нарушения антимонопольных норм и требований, установленных Законом о торговле, не обнаружено.</w:t>
      </w:r>
    </w:p>
    <w:p w:rsidR="00FE3035" w:rsidRPr="00FE3035" w:rsidRDefault="00FE3035" w:rsidP="00344CBD">
      <w:pPr>
        <w:spacing w:before="120" w:line="276" w:lineRule="auto"/>
        <w:ind w:firstLine="454"/>
        <w:jc w:val="both"/>
        <w:rPr>
          <w:szCs w:val="26"/>
        </w:rPr>
      </w:pPr>
      <w:r w:rsidRPr="00FE3035">
        <w:rPr>
          <w:szCs w:val="26"/>
        </w:rPr>
        <w:t xml:space="preserve">В </w:t>
      </w:r>
      <w:r>
        <w:rPr>
          <w:szCs w:val="26"/>
        </w:rPr>
        <w:t>первой половине</w:t>
      </w:r>
      <w:r w:rsidRPr="00FE3035">
        <w:rPr>
          <w:szCs w:val="26"/>
        </w:rPr>
        <w:t xml:space="preserve"> 2017 год</w:t>
      </w:r>
      <w:r>
        <w:rPr>
          <w:szCs w:val="26"/>
        </w:rPr>
        <w:t xml:space="preserve">а, </w:t>
      </w:r>
      <w:r w:rsidRPr="00FE3035">
        <w:rPr>
          <w:szCs w:val="26"/>
        </w:rPr>
        <w:t>в рамках исполнения поручений Правительства РФ</w:t>
      </w:r>
      <w:r>
        <w:rPr>
          <w:szCs w:val="26"/>
        </w:rPr>
        <w:t>,</w:t>
      </w:r>
      <w:r w:rsidRPr="00FE3035">
        <w:rPr>
          <w:szCs w:val="26"/>
        </w:rPr>
        <w:t xml:space="preserve"> </w:t>
      </w:r>
      <w:r>
        <w:rPr>
          <w:szCs w:val="26"/>
        </w:rPr>
        <w:t>У</w:t>
      </w:r>
      <w:r w:rsidRPr="00FE3035">
        <w:rPr>
          <w:szCs w:val="26"/>
        </w:rPr>
        <w:t xml:space="preserve">правлением </w:t>
      </w:r>
      <w:r>
        <w:rPr>
          <w:szCs w:val="26"/>
        </w:rPr>
        <w:t xml:space="preserve">были </w:t>
      </w:r>
      <w:r w:rsidRPr="00FE3035">
        <w:rPr>
          <w:szCs w:val="26"/>
        </w:rPr>
        <w:t>проведены</w:t>
      </w:r>
      <w:r w:rsidR="003C31FE">
        <w:rPr>
          <w:szCs w:val="26"/>
        </w:rPr>
        <w:t xml:space="preserve"> документарные </w:t>
      </w:r>
      <w:r w:rsidRPr="00FE3035">
        <w:rPr>
          <w:szCs w:val="26"/>
        </w:rPr>
        <w:t>проверки деятельности крупнейших торговых сетей, осуществляющих деятельность на территории Тюменской области (без автономных округов), на предмет соблюдения требований, установленных новой редакции Закон</w:t>
      </w:r>
      <w:r w:rsidR="00BF6937">
        <w:rPr>
          <w:szCs w:val="26"/>
        </w:rPr>
        <w:t>а</w:t>
      </w:r>
      <w:r w:rsidRPr="00FE3035">
        <w:rPr>
          <w:szCs w:val="26"/>
        </w:rPr>
        <w:t xml:space="preserve"> о торговле. </w:t>
      </w:r>
    </w:p>
    <w:p w:rsidR="00FE3035" w:rsidRPr="00FE3035" w:rsidRDefault="00FE3035" w:rsidP="00344CBD">
      <w:pPr>
        <w:spacing w:before="120" w:line="276" w:lineRule="auto"/>
        <w:ind w:firstLine="454"/>
        <w:jc w:val="both"/>
        <w:rPr>
          <w:szCs w:val="26"/>
        </w:rPr>
      </w:pPr>
      <w:r w:rsidRPr="00FE3035">
        <w:rPr>
          <w:szCs w:val="26"/>
        </w:rPr>
        <w:t xml:space="preserve">Управлением </w:t>
      </w:r>
      <w:r w:rsidR="00131B1C">
        <w:rPr>
          <w:szCs w:val="26"/>
        </w:rPr>
        <w:t>был</w:t>
      </w:r>
      <w:r w:rsidR="00BF6937">
        <w:rPr>
          <w:szCs w:val="26"/>
        </w:rPr>
        <w:t>а исследована действующая договорная практика торговых сетей, в связи с чем, Управлением было проанализировано содержание</w:t>
      </w:r>
      <w:r w:rsidRPr="00FE3035">
        <w:rPr>
          <w:szCs w:val="26"/>
        </w:rPr>
        <w:t xml:space="preserve"> более 200 договоров поставки, </w:t>
      </w:r>
      <w:r w:rsidR="00131B1C" w:rsidRPr="00FE3035">
        <w:rPr>
          <w:szCs w:val="26"/>
        </w:rPr>
        <w:t>заключённых</w:t>
      </w:r>
      <w:r w:rsidRPr="00FE3035">
        <w:rPr>
          <w:szCs w:val="26"/>
        </w:rPr>
        <w:t xml:space="preserve"> </w:t>
      </w:r>
      <w:r w:rsidR="00410608" w:rsidRPr="00FE3035">
        <w:rPr>
          <w:szCs w:val="26"/>
        </w:rPr>
        <w:t>торговыми сетями «Лента», «Ашан», «Перекресток», «Окей», «Метро Кэш энд Кэрри», «Монетка», «Магнит», «Дикси»</w:t>
      </w:r>
      <w:r w:rsidR="00410608">
        <w:rPr>
          <w:szCs w:val="26"/>
        </w:rPr>
        <w:t xml:space="preserve"> с </w:t>
      </w:r>
      <w:r w:rsidRPr="00FE3035">
        <w:rPr>
          <w:szCs w:val="26"/>
        </w:rPr>
        <w:t xml:space="preserve">местными поставщиками </w:t>
      </w:r>
      <w:r w:rsidR="00410608">
        <w:rPr>
          <w:szCs w:val="26"/>
        </w:rPr>
        <w:t>(производителями) продовольственных товаров.</w:t>
      </w:r>
      <w:r w:rsidRPr="00FE3035">
        <w:rPr>
          <w:szCs w:val="26"/>
        </w:rPr>
        <w:t xml:space="preserve"> </w:t>
      </w:r>
    </w:p>
    <w:p w:rsidR="00AA06D9" w:rsidRPr="00684BBE" w:rsidRDefault="00AA06D9" w:rsidP="00344CBD">
      <w:pPr>
        <w:spacing w:before="120" w:line="276" w:lineRule="auto"/>
        <w:ind w:firstLine="454"/>
        <w:jc w:val="both"/>
        <w:rPr>
          <w:rFonts w:eastAsia="Calibri"/>
          <w:szCs w:val="28"/>
          <w:lang w:eastAsia="en-US"/>
        </w:rPr>
      </w:pPr>
      <w:r w:rsidRPr="00684BBE">
        <w:rPr>
          <w:rFonts w:eastAsia="Calibri"/>
          <w:szCs w:val="28"/>
          <w:lang w:eastAsia="en-US"/>
        </w:rPr>
        <w:t xml:space="preserve">Необходимо отметить, что из договорной практики </w:t>
      </w:r>
      <w:r>
        <w:rPr>
          <w:rFonts w:eastAsia="Calibri"/>
          <w:szCs w:val="28"/>
          <w:lang w:eastAsia="en-US"/>
        </w:rPr>
        <w:t xml:space="preserve">большинства </w:t>
      </w:r>
      <w:r w:rsidRPr="00684BBE">
        <w:rPr>
          <w:rFonts w:eastAsia="Calibri"/>
          <w:szCs w:val="28"/>
          <w:lang w:eastAsia="en-US"/>
        </w:rPr>
        <w:t xml:space="preserve">сетей ушли условия об осуществлении поставщиками выплат за достижение определённого объёма поставок в пользу торговой сети. Вместе с тем, всеми торговыми сетями ужесточены меры ответственности за ненадлежащее исполнение договора (поставки товара ненадлежащего качества, ошибки в товаросопроводительных документах и прочее). Так, в договорной практике ряда торговых сетей присутствует показатель уровень сервиса, определяющийся исходя из % выполнения заявок. Как правило,  данный показатель устанавливается на уровне 96-98%, а его недостижение для поставщика влечет за собой крупные штрафы в % отношении от суммы поставленного товара. </w:t>
      </w:r>
    </w:p>
    <w:p w:rsidR="00412792" w:rsidRDefault="00412792" w:rsidP="00344CBD">
      <w:pPr>
        <w:spacing w:before="120" w:line="276" w:lineRule="auto"/>
        <w:ind w:firstLine="454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В ходе проверки возникли вопросы по договорам торговых сетей  «Лента», «Ашан» и</w:t>
      </w:r>
      <w:r w:rsidRPr="00FE3035">
        <w:rPr>
          <w:rFonts w:eastAsia="Calibri"/>
          <w:szCs w:val="26"/>
        </w:rPr>
        <w:t xml:space="preserve"> «Метро»</w:t>
      </w:r>
      <w:r>
        <w:rPr>
          <w:rFonts w:eastAsia="Calibri"/>
          <w:szCs w:val="26"/>
        </w:rPr>
        <w:t xml:space="preserve">, содержащие условия, которые нельзя однозначно квалифицировать как нарушение  требований Закона о торговле. </w:t>
      </w:r>
    </w:p>
    <w:p w:rsidR="00412792" w:rsidRDefault="00412792" w:rsidP="00344CBD">
      <w:pPr>
        <w:spacing w:before="120" w:line="276" w:lineRule="auto"/>
        <w:ind w:firstLine="454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Например, т</w:t>
      </w:r>
      <w:r w:rsidRPr="005B3652">
        <w:rPr>
          <w:rFonts w:eastAsia="Calibri"/>
          <w:szCs w:val="26"/>
        </w:rPr>
        <w:t>иповой договор поставки</w:t>
      </w:r>
      <w:r>
        <w:rPr>
          <w:rFonts w:eastAsia="Calibri"/>
          <w:szCs w:val="26"/>
        </w:rPr>
        <w:t xml:space="preserve"> продовольственных товаров в </w:t>
      </w:r>
      <w:r w:rsidRPr="005B3652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 xml:space="preserve">торговую сеть «Лента» </w:t>
      </w:r>
      <w:r w:rsidRPr="005B3652">
        <w:rPr>
          <w:rFonts w:eastAsia="Calibri"/>
          <w:szCs w:val="26"/>
        </w:rPr>
        <w:t xml:space="preserve">содержит пункты, которые, в отдельных случаях могут привести к нарушению ч. 4, ч. 10 ст. 9 Закона о торговле, </w:t>
      </w:r>
      <w:r>
        <w:rPr>
          <w:rFonts w:eastAsia="Calibri"/>
          <w:szCs w:val="26"/>
        </w:rPr>
        <w:t xml:space="preserve">а </w:t>
      </w:r>
      <w:r w:rsidRPr="005B3652">
        <w:rPr>
          <w:rFonts w:eastAsia="Calibri"/>
          <w:szCs w:val="26"/>
        </w:rPr>
        <w:t>договоры поставки продовольственных товаров по категории «рыба» содержат различные требования к поставщикам в части срока исполнения заказа, а также штрафных санкций  - признаки нарушения п.1 ч.1 ст. 13 Закона о торговле</w:t>
      </w:r>
    </w:p>
    <w:p w:rsidR="00412792" w:rsidRPr="00FE3035" w:rsidRDefault="00412792" w:rsidP="00344CBD">
      <w:pPr>
        <w:spacing w:before="120" w:line="276" w:lineRule="auto"/>
        <w:ind w:firstLine="454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Заключения с выводами по проверке договоров указанных торговых сетей переданы в другие  территориальные управления ФАС России, полномочия которых позволяют (по местонахождению хозяйствующих субъектов)  рассматривать комиссионные и административные дела в отношении указанных сетей. </w:t>
      </w:r>
    </w:p>
    <w:p w:rsidR="00412792" w:rsidRDefault="00FE3035" w:rsidP="00344CBD">
      <w:pPr>
        <w:spacing w:before="120" w:line="276" w:lineRule="auto"/>
        <w:ind w:firstLine="454"/>
        <w:jc w:val="both"/>
        <w:rPr>
          <w:szCs w:val="26"/>
        </w:rPr>
      </w:pPr>
      <w:r w:rsidRPr="00FE3035">
        <w:rPr>
          <w:szCs w:val="26"/>
        </w:rPr>
        <w:t xml:space="preserve">В целом работу по приведению условий поставки продовольственных товаров в соответствие с требованиями, установленными Законом о торговле (в редакции от 03.07.2016), </w:t>
      </w:r>
      <w:r w:rsidR="003C31FE" w:rsidRPr="00FE3035">
        <w:rPr>
          <w:szCs w:val="26"/>
        </w:rPr>
        <w:t xml:space="preserve">можно оценить </w:t>
      </w:r>
      <w:r w:rsidRPr="00FE3035">
        <w:rPr>
          <w:szCs w:val="26"/>
        </w:rPr>
        <w:t>как удовлетворительную.</w:t>
      </w:r>
      <w:r w:rsidR="00131B1C">
        <w:rPr>
          <w:szCs w:val="26"/>
        </w:rPr>
        <w:t xml:space="preserve"> </w:t>
      </w:r>
    </w:p>
    <w:p w:rsidR="005B3652" w:rsidRDefault="00FE3035" w:rsidP="00344CBD">
      <w:pPr>
        <w:spacing w:before="120" w:line="276" w:lineRule="auto"/>
        <w:ind w:firstLine="454"/>
        <w:jc w:val="both"/>
        <w:rPr>
          <w:rFonts w:eastAsia="Calibri"/>
          <w:szCs w:val="26"/>
        </w:rPr>
      </w:pPr>
      <w:r w:rsidRPr="00FE3035">
        <w:rPr>
          <w:rFonts w:eastAsia="Calibri"/>
          <w:szCs w:val="26"/>
        </w:rPr>
        <w:t>Исключение составляют торгов</w:t>
      </w:r>
      <w:r w:rsidR="00210DD7">
        <w:rPr>
          <w:rFonts w:eastAsia="Calibri"/>
          <w:szCs w:val="26"/>
        </w:rPr>
        <w:t xml:space="preserve">ая </w:t>
      </w:r>
      <w:r w:rsidRPr="00FE3035">
        <w:rPr>
          <w:rFonts w:eastAsia="Calibri"/>
          <w:szCs w:val="26"/>
        </w:rPr>
        <w:t>се</w:t>
      </w:r>
      <w:r w:rsidR="00210DD7">
        <w:rPr>
          <w:rFonts w:eastAsia="Calibri"/>
          <w:szCs w:val="26"/>
        </w:rPr>
        <w:t>ть</w:t>
      </w:r>
      <w:r w:rsidRPr="00FE3035">
        <w:rPr>
          <w:rFonts w:eastAsia="Calibri"/>
          <w:szCs w:val="26"/>
        </w:rPr>
        <w:t xml:space="preserve"> «Монетка»</w:t>
      </w:r>
      <w:r w:rsidR="00210DD7">
        <w:rPr>
          <w:rFonts w:eastAsia="Calibri"/>
          <w:szCs w:val="26"/>
        </w:rPr>
        <w:t xml:space="preserve">. </w:t>
      </w:r>
      <w:r w:rsidR="005B3652" w:rsidRPr="005B3652">
        <w:rPr>
          <w:rFonts w:eastAsia="Calibri"/>
          <w:szCs w:val="26"/>
        </w:rPr>
        <w:t xml:space="preserve">Торговая сеть не привела договоры поставки продовольственных товаров, заключённые до 15.07.2016, в соответствие с Законом о торговле. </w:t>
      </w:r>
    </w:p>
    <w:p w:rsidR="005B3652" w:rsidRDefault="005B3652" w:rsidP="00344CBD">
      <w:pPr>
        <w:spacing w:before="120" w:line="276" w:lineRule="auto"/>
        <w:ind w:firstLine="454"/>
        <w:jc w:val="both"/>
        <w:rPr>
          <w:rFonts w:eastAsia="Calibri"/>
          <w:szCs w:val="26"/>
        </w:rPr>
      </w:pPr>
      <w:r w:rsidRPr="005B3652">
        <w:rPr>
          <w:rFonts w:eastAsia="Calibri"/>
          <w:szCs w:val="26"/>
        </w:rPr>
        <w:t>В заключённых договорах обнаружены ряд типичных нарушений ч. 4 ст. 9 (размер ретробонуса превышает установленную Законом о торговле величину в два раза), ч. 5 ст. 9 Закона о торговле (в одном из договоров поставки начисляется ретробонус за социально-значимый товар), ч. 7 ст. 9 Закона о торговле (сроки оплаты товара по договору поставки превышают установленные Законом о торговле сроки). Кроме того, практически во всех договорах поставки установлен скрытый запрет на уступку прав требования путем объявления всей информации по исполнению договора конфиденциальной и введения в договор требования о получении согласия на разглашение такой информации.</w:t>
      </w:r>
    </w:p>
    <w:p w:rsidR="003C31FE" w:rsidRPr="00FE3035" w:rsidRDefault="00412792" w:rsidP="00344CBD">
      <w:pPr>
        <w:spacing w:before="120" w:line="276" w:lineRule="auto"/>
        <w:ind w:firstLine="454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Кроме того, например т</w:t>
      </w:r>
      <w:r w:rsidR="003C31FE" w:rsidRPr="00FE3035">
        <w:rPr>
          <w:rFonts w:eastAsia="Calibri"/>
          <w:szCs w:val="26"/>
        </w:rPr>
        <w:t>орговая сеть «Метро Кэш энд Керри» представила информацию по договорной практике с местными поставщиками не в полном объёме</w:t>
      </w:r>
      <w:r w:rsidR="004A1109">
        <w:rPr>
          <w:rFonts w:eastAsia="Calibri"/>
          <w:szCs w:val="26"/>
        </w:rPr>
        <w:t xml:space="preserve">. </w:t>
      </w:r>
      <w:r w:rsidR="003C31FE" w:rsidRPr="00FE3035">
        <w:rPr>
          <w:rFonts w:eastAsia="Calibri"/>
          <w:szCs w:val="26"/>
        </w:rPr>
        <w:t>Общества привлечено к  административной ответственности по ч.5 ст.19.8 КоАП РФ. Наложенный управлением штраф, составивший 50 тыс.руб. хозяйствующий субъект обжалует в суде.</w:t>
      </w:r>
    </w:p>
    <w:p w:rsidR="000A46E8" w:rsidRDefault="00FE3035" w:rsidP="00344CBD">
      <w:pPr>
        <w:spacing w:before="120" w:line="276" w:lineRule="auto"/>
        <w:ind w:firstLine="454"/>
        <w:jc w:val="both"/>
        <w:rPr>
          <w:szCs w:val="22"/>
        </w:rPr>
      </w:pPr>
      <w:r w:rsidRPr="00FE3035">
        <w:rPr>
          <w:szCs w:val="22"/>
        </w:rPr>
        <w:t xml:space="preserve">Таким образом, Управлением </w:t>
      </w:r>
      <w:r w:rsidR="000A46E8" w:rsidRPr="00FE3035">
        <w:rPr>
          <w:szCs w:val="22"/>
        </w:rPr>
        <w:t xml:space="preserve">по результатам </w:t>
      </w:r>
      <w:r w:rsidR="000A46E8">
        <w:rPr>
          <w:szCs w:val="22"/>
        </w:rPr>
        <w:t xml:space="preserve">проведённых </w:t>
      </w:r>
      <w:r w:rsidR="000A46E8" w:rsidRPr="00FE3035">
        <w:rPr>
          <w:szCs w:val="22"/>
        </w:rPr>
        <w:t xml:space="preserve">проверок </w:t>
      </w:r>
      <w:r w:rsidRPr="00FE3035">
        <w:rPr>
          <w:szCs w:val="22"/>
        </w:rPr>
        <w:t>установлен</w:t>
      </w:r>
      <w:r w:rsidR="00412792">
        <w:rPr>
          <w:szCs w:val="22"/>
        </w:rPr>
        <w:t xml:space="preserve">о, </w:t>
      </w:r>
      <w:r w:rsidR="000A46E8">
        <w:rPr>
          <w:szCs w:val="22"/>
        </w:rPr>
        <w:t>часть торговых сетей осуществляет закупку продовольственных товаров у местных поставщиков по договорам, содержащим условия, которые могут содержать</w:t>
      </w:r>
      <w:r w:rsidR="009A7860">
        <w:rPr>
          <w:szCs w:val="22"/>
        </w:rPr>
        <w:t xml:space="preserve"> </w:t>
      </w:r>
      <w:r w:rsidRPr="00FE3035">
        <w:rPr>
          <w:szCs w:val="22"/>
        </w:rPr>
        <w:t>наруш</w:t>
      </w:r>
      <w:r w:rsidR="000A46E8">
        <w:rPr>
          <w:szCs w:val="22"/>
        </w:rPr>
        <w:t>ение</w:t>
      </w:r>
      <w:r w:rsidRPr="00FE3035">
        <w:rPr>
          <w:szCs w:val="22"/>
        </w:rPr>
        <w:t xml:space="preserve"> </w:t>
      </w:r>
      <w:r w:rsidR="00412792">
        <w:rPr>
          <w:szCs w:val="22"/>
        </w:rPr>
        <w:t>Закона о торговле.</w:t>
      </w:r>
      <w:r w:rsidR="009A7860">
        <w:rPr>
          <w:szCs w:val="22"/>
        </w:rPr>
        <w:t xml:space="preserve"> </w:t>
      </w:r>
      <w:r w:rsidR="000A46E8">
        <w:rPr>
          <w:szCs w:val="22"/>
        </w:rPr>
        <w:t>При этом окончательный вывод о нарушении или его отсутствии может быть сделан</w:t>
      </w:r>
      <w:r w:rsidR="00D943A9">
        <w:rPr>
          <w:szCs w:val="22"/>
        </w:rPr>
        <w:t xml:space="preserve"> после</w:t>
      </w:r>
      <w:r w:rsidR="000A46E8">
        <w:rPr>
          <w:szCs w:val="22"/>
        </w:rPr>
        <w:t xml:space="preserve"> дополнительно</w:t>
      </w:r>
      <w:r w:rsidR="000A46E8" w:rsidRPr="000A46E8">
        <w:rPr>
          <w:szCs w:val="22"/>
        </w:rPr>
        <w:t xml:space="preserve"> </w:t>
      </w:r>
      <w:r w:rsidR="000A46E8">
        <w:rPr>
          <w:szCs w:val="22"/>
        </w:rPr>
        <w:t xml:space="preserve">полученной информации и документов. </w:t>
      </w:r>
    </w:p>
    <w:p w:rsidR="00FE3035" w:rsidRPr="00FE3035" w:rsidRDefault="00131B1C" w:rsidP="00344CBD">
      <w:pPr>
        <w:spacing w:before="120" w:line="276" w:lineRule="auto"/>
        <w:ind w:firstLine="454"/>
        <w:jc w:val="both"/>
        <w:rPr>
          <w:rFonts w:eastAsia="Calibri"/>
          <w:szCs w:val="26"/>
        </w:rPr>
      </w:pPr>
      <w:r>
        <w:rPr>
          <w:szCs w:val="22"/>
        </w:rPr>
        <w:t>В связи с отсутствием полномочий на рассмотрение административных правонарушений в отношении указанных сетей, м</w:t>
      </w:r>
      <w:r w:rsidR="00FE3035" w:rsidRPr="00FE3035">
        <w:rPr>
          <w:szCs w:val="22"/>
        </w:rPr>
        <w:t>атериалы проверки, указывающие на признаки нарушения закона, переданы по подведомственности, в другие территориальные управления ФАС России.</w:t>
      </w:r>
    </w:p>
    <w:p w:rsidR="002F7FCA" w:rsidRPr="00AC39E8" w:rsidRDefault="002F7FCA" w:rsidP="00344CBD">
      <w:pPr>
        <w:shd w:val="clear" w:color="auto" w:fill="FFFFFF"/>
        <w:tabs>
          <w:tab w:val="left" w:pos="0"/>
        </w:tabs>
        <w:spacing w:before="120" w:line="276" w:lineRule="auto"/>
        <w:ind w:firstLine="454"/>
        <w:jc w:val="both"/>
        <w:textAlignment w:val="baseline"/>
        <w:rPr>
          <w:color w:val="000000"/>
          <w:szCs w:val="28"/>
        </w:rPr>
      </w:pPr>
      <w:r w:rsidRPr="00AC39E8">
        <w:rPr>
          <w:szCs w:val="28"/>
        </w:rPr>
        <w:tab/>
        <w:t xml:space="preserve">В июле 2016 года </w:t>
      </w:r>
      <w:r w:rsidRPr="00AC39E8">
        <w:rPr>
          <w:color w:val="000000"/>
          <w:szCs w:val="28"/>
        </w:rPr>
        <w:t>в Федеральный закон «Об основах государственного регулирования торговой деятельности в Российской Федерации и в Кодекс об административных правонарушениях был внесён ряд изменений, направленных на защиту интересов поставщиков продовольственных товаров и на снижение давления торговых сетей на контрагентов в рамках подписания и исполнения договоров поставки продовольственных товаров.</w:t>
      </w:r>
    </w:p>
    <w:p w:rsidR="002F7FCA" w:rsidRPr="00AC39E8" w:rsidRDefault="00FE3035" w:rsidP="00344CBD">
      <w:pPr>
        <w:shd w:val="clear" w:color="auto" w:fill="FFFFFF"/>
        <w:tabs>
          <w:tab w:val="left" w:pos="0"/>
        </w:tabs>
        <w:spacing w:before="120" w:line="276" w:lineRule="auto"/>
        <w:ind w:firstLine="454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Указанным з</w:t>
      </w:r>
      <w:r w:rsidR="002F7FCA" w:rsidRPr="00AC39E8">
        <w:rPr>
          <w:color w:val="000000"/>
          <w:szCs w:val="28"/>
        </w:rPr>
        <w:t xml:space="preserve">аконом установлена обязанность по раскрытию торговыми сетями информации об основных требованиях к контрагенту и о существенных условиях договора поставки продовольственных товаров. Соответствующая информация должна быть размещена в Интернете на сайте торговой сети. </w:t>
      </w:r>
    </w:p>
    <w:p w:rsidR="002F7FCA" w:rsidRPr="00AC39E8" w:rsidRDefault="002F7FCA" w:rsidP="00344CBD">
      <w:pPr>
        <w:shd w:val="clear" w:color="auto" w:fill="FFFFFF"/>
        <w:tabs>
          <w:tab w:val="left" w:pos="0"/>
        </w:tabs>
        <w:spacing w:before="120" w:line="276" w:lineRule="auto"/>
        <w:ind w:firstLine="454"/>
        <w:jc w:val="both"/>
        <w:textAlignment w:val="baseline"/>
        <w:rPr>
          <w:color w:val="000000"/>
          <w:szCs w:val="28"/>
        </w:rPr>
      </w:pPr>
      <w:r w:rsidRPr="00AC39E8">
        <w:rPr>
          <w:color w:val="000000"/>
          <w:szCs w:val="28"/>
        </w:rPr>
        <w:t xml:space="preserve">В соответствие с ч. 1 ст. 9 Закона о торговле, торговая сеть обязана обеспечивать поставщикам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 </w:t>
      </w:r>
    </w:p>
    <w:p w:rsidR="002F7FCA" w:rsidRPr="00AC39E8" w:rsidRDefault="002F7FCA" w:rsidP="00344CBD">
      <w:pPr>
        <w:spacing w:before="120" w:line="276" w:lineRule="auto"/>
        <w:ind w:firstLine="454"/>
        <w:jc w:val="both"/>
        <w:rPr>
          <w:color w:val="000000"/>
          <w:szCs w:val="28"/>
        </w:rPr>
      </w:pPr>
      <w:r w:rsidRPr="00AC39E8">
        <w:rPr>
          <w:color w:val="000000"/>
          <w:szCs w:val="28"/>
        </w:rPr>
        <w:t>Такой подход обусловлен развитием информационных технологий и направлен на обеспечение создания прозрачного и доступного механизма доступа к информации о порядке выбора контрагентов торговыми сетями, в том числе с целью обеспечения такого доступа для организаций, территориально удалённых от торговой сети. В этом заключается ценность информации, подлежащей размещению именно в сети «Интернет»: потенциальный контрагент имеет возможность, не обращаясь непосредственно в адрес торговой сети, получить всю необходимую информацию посредством обращения к официальному сайту.</w:t>
      </w:r>
    </w:p>
    <w:p w:rsidR="002F7FCA" w:rsidRPr="00AC39E8" w:rsidRDefault="002F7FCA" w:rsidP="00344CBD">
      <w:pPr>
        <w:spacing w:before="120" w:line="276" w:lineRule="auto"/>
        <w:ind w:firstLine="454"/>
        <w:jc w:val="both"/>
        <w:rPr>
          <w:color w:val="000000"/>
          <w:szCs w:val="28"/>
        </w:rPr>
      </w:pPr>
      <w:r w:rsidRPr="00AC39E8">
        <w:rPr>
          <w:color w:val="000000"/>
          <w:szCs w:val="28"/>
        </w:rPr>
        <w:t xml:space="preserve">При этом такая обязанность порождает для торговой сети необходимость выработки </w:t>
      </w:r>
      <w:r w:rsidR="00684BBE" w:rsidRPr="00AC39E8">
        <w:rPr>
          <w:color w:val="000000"/>
          <w:szCs w:val="28"/>
        </w:rPr>
        <w:t>чётких</w:t>
      </w:r>
      <w:r w:rsidRPr="00AC39E8">
        <w:rPr>
          <w:color w:val="000000"/>
          <w:szCs w:val="28"/>
        </w:rPr>
        <w:t xml:space="preserve"> критериев отбора контрагентов, применяемых для оценки всех потенциальных поставщиков, поскольку отсутствие единообразия в подходах оценки коммерческих предложений может привести к созданию дискриминационных условий для потенциальных контрагентов и будет являться нарушением антимонопольного законодательства. </w:t>
      </w:r>
    </w:p>
    <w:p w:rsidR="002F7FCA" w:rsidRPr="00AC39E8" w:rsidRDefault="002F7FCA" w:rsidP="00344CBD">
      <w:pPr>
        <w:spacing w:before="120" w:line="276" w:lineRule="auto"/>
        <w:ind w:firstLine="454"/>
        <w:jc w:val="both"/>
        <w:rPr>
          <w:color w:val="000000"/>
          <w:szCs w:val="28"/>
        </w:rPr>
      </w:pPr>
      <w:r w:rsidRPr="00AC39E8">
        <w:rPr>
          <w:color w:val="000000"/>
          <w:szCs w:val="28"/>
        </w:rPr>
        <w:t>Отсутствие информации о требованиях к контрагенту и существенных условиях договора поставки продовольственных товаров на сайтах торговых сетей является нарушением ч. 1 ст. 9 Закона о торговле, за совершение которого предусмотрена административная ответственность.</w:t>
      </w:r>
    </w:p>
    <w:p w:rsidR="008E25B8" w:rsidRPr="00AC39E8" w:rsidRDefault="002F7FCA" w:rsidP="00344CBD">
      <w:pPr>
        <w:shd w:val="clear" w:color="auto" w:fill="FFFFFF"/>
        <w:tabs>
          <w:tab w:val="left" w:pos="0"/>
          <w:tab w:val="left" w:pos="709"/>
        </w:tabs>
        <w:spacing w:before="120" w:line="276" w:lineRule="auto"/>
        <w:ind w:firstLine="454"/>
        <w:jc w:val="both"/>
        <w:textAlignment w:val="baseline"/>
        <w:rPr>
          <w:szCs w:val="28"/>
        </w:rPr>
      </w:pPr>
      <w:r w:rsidRPr="00AC39E8">
        <w:rPr>
          <w:szCs w:val="28"/>
        </w:rPr>
        <w:tab/>
      </w:r>
      <w:r w:rsidR="008E25B8" w:rsidRPr="00AC39E8">
        <w:rPr>
          <w:szCs w:val="28"/>
        </w:rPr>
        <w:t xml:space="preserve">В отношение поставщиков продовольственных товаров также предусмотрена административная ответственность за неисполнение требований по размещение информации на сайте (ч.2. ст.9 Закона о торговле). </w:t>
      </w:r>
    </w:p>
    <w:p w:rsidR="001D1BAA" w:rsidRPr="001D1BAA" w:rsidRDefault="001D1BAA" w:rsidP="00344CBD">
      <w:pPr>
        <w:shd w:val="clear" w:color="auto" w:fill="FFFFFF"/>
        <w:tabs>
          <w:tab w:val="left" w:pos="0"/>
          <w:tab w:val="left" w:pos="709"/>
        </w:tabs>
        <w:spacing w:before="120" w:line="276" w:lineRule="auto"/>
        <w:ind w:firstLine="454"/>
        <w:jc w:val="both"/>
        <w:textAlignment w:val="baseline"/>
        <w:rPr>
          <w:color w:val="000000"/>
          <w:szCs w:val="26"/>
        </w:rPr>
      </w:pPr>
      <w:r>
        <w:rPr>
          <w:color w:val="000000"/>
          <w:szCs w:val="26"/>
        </w:rPr>
        <w:tab/>
      </w:r>
      <w:r w:rsidRPr="001D1BAA">
        <w:rPr>
          <w:color w:val="000000"/>
          <w:szCs w:val="26"/>
        </w:rPr>
        <w:t xml:space="preserve">По результатам мониторинга сайтов торговых сетей и поставщиков, зарегистрированных и осуществляющих деятельность на подведомственной территории, на предмет наличия в сети Интернет сведений о существенных условиях договоров поставки и требований к контрагентам, в соответствие с ч.1,2 ст. 9 Закона о торговле, </w:t>
      </w:r>
      <w:r w:rsidRPr="001D1BAA">
        <w:rPr>
          <w:color w:val="000000"/>
          <w:szCs w:val="26"/>
        </w:rPr>
        <w:tab/>
        <w:t xml:space="preserve">Управлением </w:t>
      </w:r>
      <w:r>
        <w:rPr>
          <w:color w:val="000000"/>
          <w:szCs w:val="26"/>
        </w:rPr>
        <w:t xml:space="preserve">были </w:t>
      </w:r>
      <w:r w:rsidRPr="001D1BAA">
        <w:rPr>
          <w:color w:val="000000"/>
          <w:szCs w:val="26"/>
        </w:rPr>
        <w:t xml:space="preserve">выявлены факты нарушения указанных статей закона. </w:t>
      </w:r>
    </w:p>
    <w:p w:rsidR="00B36ACA" w:rsidRDefault="001D1BAA" w:rsidP="00B36ACA">
      <w:pPr>
        <w:shd w:val="clear" w:color="auto" w:fill="FFFFFF"/>
        <w:tabs>
          <w:tab w:val="left" w:pos="0"/>
          <w:tab w:val="left" w:pos="709"/>
        </w:tabs>
        <w:spacing w:before="120" w:line="276" w:lineRule="auto"/>
        <w:ind w:firstLine="454"/>
        <w:jc w:val="both"/>
        <w:textAlignment w:val="baseline"/>
        <w:rPr>
          <w:color w:val="000000"/>
          <w:szCs w:val="26"/>
        </w:rPr>
      </w:pPr>
      <w:r w:rsidRPr="001D1BAA">
        <w:rPr>
          <w:color w:val="000000"/>
          <w:szCs w:val="26"/>
        </w:rPr>
        <w:tab/>
        <w:t xml:space="preserve">По итогам рассмотрения дел об административных правонарушениях к административной ответственности в виде штрафа привлечены АО «Золотые луга», ЗАО «ХК «Фонд». </w:t>
      </w:r>
      <w:r>
        <w:rPr>
          <w:color w:val="000000"/>
          <w:szCs w:val="26"/>
        </w:rPr>
        <w:t>К середине 2017 года завершилась процедура</w:t>
      </w:r>
      <w:r w:rsidRPr="001D1BAA">
        <w:rPr>
          <w:color w:val="000000"/>
          <w:szCs w:val="26"/>
        </w:rPr>
        <w:t xml:space="preserve"> прохождения судебного обжалования </w:t>
      </w:r>
      <w:r>
        <w:rPr>
          <w:color w:val="000000"/>
          <w:szCs w:val="26"/>
        </w:rPr>
        <w:t xml:space="preserve"> и </w:t>
      </w:r>
      <w:r w:rsidRPr="001D1BAA">
        <w:rPr>
          <w:color w:val="000000"/>
          <w:szCs w:val="26"/>
        </w:rPr>
        <w:t>оба общества уплатили в федеральный бюджет по 150 тыс.рублей.</w:t>
      </w:r>
    </w:p>
    <w:p w:rsidR="00932401" w:rsidRPr="00AC39E8" w:rsidRDefault="002F7FCA" w:rsidP="00B36ACA">
      <w:pPr>
        <w:shd w:val="clear" w:color="auto" w:fill="FFFFFF"/>
        <w:tabs>
          <w:tab w:val="left" w:pos="0"/>
          <w:tab w:val="left" w:pos="709"/>
        </w:tabs>
        <w:spacing w:before="120" w:line="276" w:lineRule="auto"/>
        <w:ind w:firstLine="454"/>
        <w:jc w:val="both"/>
        <w:textAlignment w:val="baseline"/>
        <w:rPr>
          <w:szCs w:val="28"/>
        </w:rPr>
      </w:pPr>
      <w:r w:rsidRPr="00AC39E8">
        <w:rPr>
          <w:szCs w:val="28"/>
        </w:rPr>
        <w:t xml:space="preserve">Деятельность управления, направленная на осуществление контроля соблюдения требований </w:t>
      </w:r>
      <w:r w:rsidR="00932401" w:rsidRPr="00AC39E8">
        <w:rPr>
          <w:szCs w:val="28"/>
        </w:rPr>
        <w:t>Закона о торговле в  дальнейшем будет продолжена.</w:t>
      </w:r>
    </w:p>
    <w:p w:rsidR="00384A0D" w:rsidRPr="00AC39E8" w:rsidRDefault="001F51A7" w:rsidP="00344CBD">
      <w:pPr>
        <w:pStyle w:val="a9"/>
        <w:widowControl w:val="0"/>
        <w:spacing w:before="120" w:line="276" w:lineRule="auto"/>
        <w:ind w:firstLine="454"/>
        <w:rPr>
          <w:b/>
        </w:rPr>
      </w:pPr>
      <w:r w:rsidRPr="00AC39E8">
        <w:rPr>
          <w:b/>
        </w:rPr>
        <w:t xml:space="preserve">Практика </w:t>
      </w:r>
      <w:r w:rsidR="00163DDE" w:rsidRPr="00AC39E8">
        <w:rPr>
          <w:b/>
        </w:rPr>
        <w:t>привлечени</w:t>
      </w:r>
      <w:r w:rsidR="00366AE5" w:rsidRPr="00AC39E8">
        <w:rPr>
          <w:b/>
        </w:rPr>
        <w:t>я</w:t>
      </w:r>
      <w:r w:rsidR="00163DDE" w:rsidRPr="00AC39E8">
        <w:rPr>
          <w:b/>
        </w:rPr>
        <w:t xml:space="preserve"> к административной </w:t>
      </w:r>
      <w:r w:rsidR="00366AE5" w:rsidRPr="00AC39E8">
        <w:rPr>
          <w:b/>
        </w:rPr>
        <w:t>ответственности</w:t>
      </w:r>
      <w:r w:rsidR="00163DDE" w:rsidRPr="00AC39E8">
        <w:rPr>
          <w:b/>
        </w:rPr>
        <w:t xml:space="preserve"> за нарушение антимонопольного законодательства</w:t>
      </w:r>
      <w:r w:rsidR="00424B50" w:rsidRPr="00AC39E8">
        <w:rPr>
          <w:b/>
        </w:rPr>
        <w:t xml:space="preserve"> на товарных рынках</w:t>
      </w:r>
    </w:p>
    <w:p w:rsidR="001505D0" w:rsidRPr="00AC39E8" w:rsidRDefault="00545533" w:rsidP="00344CBD">
      <w:pPr>
        <w:pStyle w:val="a9"/>
        <w:widowControl w:val="0"/>
        <w:spacing w:before="120" w:line="276" w:lineRule="auto"/>
        <w:ind w:firstLine="454"/>
      </w:pPr>
      <w:r>
        <w:t>Почти в</w:t>
      </w:r>
      <w:r w:rsidR="001F51A7" w:rsidRPr="00AC39E8">
        <w:t>се принятые управлением решения и</w:t>
      </w:r>
      <w:r w:rsidR="00BF0160" w:rsidRPr="00AC39E8">
        <w:t xml:space="preserve"> (или)</w:t>
      </w:r>
      <w:r w:rsidR="001F51A7" w:rsidRPr="00AC39E8">
        <w:t xml:space="preserve"> постановления о привлечении </w:t>
      </w:r>
      <w:r w:rsidR="00BF0160" w:rsidRPr="00AC39E8">
        <w:t xml:space="preserve">хозяйствующих субъектов и должностных лиц </w:t>
      </w:r>
      <w:r w:rsidR="001F51A7" w:rsidRPr="00AC39E8">
        <w:t xml:space="preserve">к административной ответственности </w:t>
      </w:r>
      <w:r w:rsidR="00BF0160" w:rsidRPr="00AC39E8">
        <w:t xml:space="preserve">за нарушение антимонопольного законодательства </w:t>
      </w:r>
      <w:r w:rsidR="001F51A7" w:rsidRPr="00AC39E8">
        <w:t>обжалу</w:t>
      </w:r>
      <w:r w:rsidR="0061356A" w:rsidRPr="00AC39E8">
        <w:t>ю</w:t>
      </w:r>
      <w:r w:rsidR="001F51A7" w:rsidRPr="00AC39E8">
        <w:t>тся в суд.</w:t>
      </w:r>
      <w:r w:rsidR="00924C52" w:rsidRPr="00AC39E8">
        <w:t xml:space="preserve"> </w:t>
      </w:r>
      <w:r w:rsidR="00224B65" w:rsidRPr="00AC39E8">
        <w:t>Практика показывает, что большинство</w:t>
      </w:r>
      <w:r w:rsidR="00BF0160" w:rsidRPr="00AC39E8">
        <w:t xml:space="preserve"> приняты</w:t>
      </w:r>
      <w:r w:rsidR="00224B65" w:rsidRPr="00AC39E8">
        <w:t>х</w:t>
      </w:r>
      <w:r w:rsidR="00BF0160" w:rsidRPr="00AC39E8">
        <w:t xml:space="preserve"> антимонопольным управлением решени</w:t>
      </w:r>
      <w:r w:rsidR="00224B65" w:rsidRPr="00AC39E8">
        <w:t>й</w:t>
      </w:r>
      <w:r w:rsidR="00BF0160" w:rsidRPr="00AC39E8">
        <w:t xml:space="preserve"> </w:t>
      </w:r>
      <w:r w:rsidR="001331E3">
        <w:t xml:space="preserve">и постановлений </w:t>
      </w:r>
      <w:r w:rsidR="000C20D3" w:rsidRPr="00AC39E8">
        <w:t xml:space="preserve">признаются судами </w:t>
      </w:r>
      <w:r w:rsidR="00224B65" w:rsidRPr="00AC39E8">
        <w:t xml:space="preserve"> законными и </w:t>
      </w:r>
      <w:r w:rsidR="00BF0160" w:rsidRPr="00AC39E8">
        <w:t>остаются в силе.</w:t>
      </w:r>
      <w:r w:rsidR="001505D0" w:rsidRPr="00AC39E8">
        <w:t xml:space="preserve"> </w:t>
      </w:r>
    </w:p>
    <w:p w:rsidR="001331E3" w:rsidRPr="00AC39E8" w:rsidRDefault="001331E3" w:rsidP="001331E3">
      <w:pPr>
        <w:pStyle w:val="a9"/>
        <w:widowControl w:val="0"/>
        <w:spacing w:before="120" w:line="276" w:lineRule="auto"/>
        <w:ind w:firstLine="454"/>
      </w:pPr>
      <w:r>
        <w:t>В настоящее время восемь</w:t>
      </w:r>
      <w:r w:rsidRPr="00AC39E8">
        <w:t xml:space="preserve"> постановлений о привлечении к административной ответственности, вынесенных управлением по фактам нарушения статей 14.31</w:t>
      </w:r>
      <w:r>
        <w:t xml:space="preserve"> и </w:t>
      </w:r>
      <w:r w:rsidRPr="00AC39E8">
        <w:t xml:space="preserve"> 14.32 КоАП РФ</w:t>
      </w:r>
      <w:r>
        <w:t>,</w:t>
      </w:r>
      <w:r w:rsidRPr="00AC39E8">
        <w:t xml:space="preserve"> </w:t>
      </w:r>
      <w:r>
        <w:t>находятся в процессе</w:t>
      </w:r>
      <w:r w:rsidRPr="00AC39E8">
        <w:t xml:space="preserve"> судебного оспаривания</w:t>
      </w:r>
      <w:r>
        <w:t>.</w:t>
      </w:r>
    </w:p>
    <w:p w:rsidR="004521A0" w:rsidRDefault="00B83B80" w:rsidP="00344CBD">
      <w:pPr>
        <w:widowControl w:val="0"/>
        <w:spacing w:before="120" w:line="276" w:lineRule="auto"/>
        <w:ind w:firstLine="454"/>
        <w:jc w:val="both"/>
        <w:rPr>
          <w:szCs w:val="28"/>
        </w:rPr>
      </w:pPr>
      <w:r>
        <w:rPr>
          <w:szCs w:val="28"/>
        </w:rPr>
        <w:t>По истечении</w:t>
      </w:r>
      <w:r w:rsidR="00545533">
        <w:rPr>
          <w:szCs w:val="28"/>
        </w:rPr>
        <w:t xml:space="preserve"> перво</w:t>
      </w:r>
      <w:r>
        <w:rPr>
          <w:szCs w:val="28"/>
        </w:rPr>
        <w:t>го</w:t>
      </w:r>
      <w:r w:rsidR="00545533">
        <w:rPr>
          <w:szCs w:val="28"/>
        </w:rPr>
        <w:t xml:space="preserve"> полугоди</w:t>
      </w:r>
      <w:r>
        <w:rPr>
          <w:szCs w:val="28"/>
        </w:rPr>
        <w:t>я</w:t>
      </w:r>
      <w:r w:rsidR="004521A0">
        <w:rPr>
          <w:szCs w:val="28"/>
        </w:rPr>
        <w:t xml:space="preserve"> завершилась процедура судебного обжалования приняты</w:t>
      </w:r>
      <w:r w:rsidR="00C73611">
        <w:rPr>
          <w:szCs w:val="28"/>
        </w:rPr>
        <w:t>х</w:t>
      </w:r>
      <w:r w:rsidR="004521A0">
        <w:rPr>
          <w:szCs w:val="28"/>
        </w:rPr>
        <w:t xml:space="preserve"> управлени</w:t>
      </w:r>
      <w:r w:rsidR="00C73611">
        <w:rPr>
          <w:szCs w:val="28"/>
        </w:rPr>
        <w:t>ем</w:t>
      </w:r>
      <w:r w:rsidR="004521A0">
        <w:rPr>
          <w:szCs w:val="28"/>
        </w:rPr>
        <w:t xml:space="preserve"> решени</w:t>
      </w:r>
      <w:r w:rsidR="00C73611">
        <w:rPr>
          <w:szCs w:val="28"/>
        </w:rPr>
        <w:t>й</w:t>
      </w:r>
      <w:r w:rsidR="004521A0" w:rsidRPr="004521A0">
        <w:rPr>
          <w:szCs w:val="28"/>
        </w:rPr>
        <w:t xml:space="preserve"> </w:t>
      </w:r>
      <w:r w:rsidR="004521A0" w:rsidRPr="00AC39E8">
        <w:rPr>
          <w:szCs w:val="28"/>
        </w:rPr>
        <w:t>о нарушении антимонопольного законодательства (злоупотребление доминирующим положением</w:t>
      </w:r>
      <w:r w:rsidR="004521A0">
        <w:rPr>
          <w:szCs w:val="28"/>
        </w:rPr>
        <w:t>) в отношении ООО «З</w:t>
      </w:r>
      <w:r w:rsidR="00B36ACA">
        <w:rPr>
          <w:szCs w:val="28"/>
        </w:rPr>
        <w:t>о</w:t>
      </w:r>
      <w:r w:rsidR="004521A0">
        <w:rPr>
          <w:szCs w:val="28"/>
        </w:rPr>
        <w:t>лотые луга» и  ООО «Тюмень Водоканал»</w:t>
      </w:r>
      <w:r w:rsidR="00C73611">
        <w:rPr>
          <w:szCs w:val="28"/>
        </w:rPr>
        <w:t>.</w:t>
      </w:r>
    </w:p>
    <w:p w:rsidR="00C73611" w:rsidRDefault="00B83B80" w:rsidP="00344CBD">
      <w:pPr>
        <w:widowControl w:val="0"/>
        <w:spacing w:before="120" w:line="276" w:lineRule="auto"/>
        <w:ind w:firstLine="454"/>
        <w:jc w:val="both"/>
        <w:rPr>
          <w:szCs w:val="28"/>
        </w:rPr>
      </w:pPr>
      <w:r>
        <w:rPr>
          <w:szCs w:val="28"/>
        </w:rPr>
        <w:t>Судами апелляционной инстанции</w:t>
      </w:r>
      <w:r w:rsidRPr="00C73611">
        <w:rPr>
          <w:szCs w:val="28"/>
        </w:rPr>
        <w:t xml:space="preserve"> </w:t>
      </w:r>
      <w:r>
        <w:rPr>
          <w:szCs w:val="28"/>
        </w:rPr>
        <w:t>признаны законными р</w:t>
      </w:r>
      <w:r w:rsidR="00C73611">
        <w:rPr>
          <w:szCs w:val="28"/>
        </w:rPr>
        <w:t xml:space="preserve">ешения Управления по делам о заключении </w:t>
      </w:r>
      <w:r>
        <w:rPr>
          <w:szCs w:val="28"/>
        </w:rPr>
        <w:t xml:space="preserve">между </w:t>
      </w:r>
      <w:r w:rsidR="00C73611" w:rsidRPr="00C73611">
        <w:rPr>
          <w:szCs w:val="28"/>
        </w:rPr>
        <w:t xml:space="preserve">ПАО СК </w:t>
      </w:r>
      <w:r w:rsidR="00C73611">
        <w:rPr>
          <w:szCs w:val="28"/>
        </w:rPr>
        <w:t>«</w:t>
      </w:r>
      <w:r w:rsidR="00C73611" w:rsidRPr="00C73611">
        <w:rPr>
          <w:szCs w:val="28"/>
        </w:rPr>
        <w:t>Росгосстрах</w:t>
      </w:r>
      <w:r w:rsidR="00C73611">
        <w:rPr>
          <w:szCs w:val="28"/>
        </w:rPr>
        <w:t>» и ИП Пон</w:t>
      </w:r>
      <w:r w:rsidR="00B36ACA">
        <w:rPr>
          <w:szCs w:val="28"/>
        </w:rPr>
        <w:t>о</w:t>
      </w:r>
      <w:r w:rsidR="00C73611">
        <w:rPr>
          <w:szCs w:val="28"/>
        </w:rPr>
        <w:t xml:space="preserve">маревым, </w:t>
      </w:r>
      <w:r>
        <w:rPr>
          <w:szCs w:val="28"/>
        </w:rPr>
        <w:t xml:space="preserve">между </w:t>
      </w:r>
      <w:r w:rsidR="00C73611">
        <w:rPr>
          <w:szCs w:val="28"/>
        </w:rPr>
        <w:t xml:space="preserve">ООО «ИнНова» и </w:t>
      </w:r>
      <w:r w:rsidR="00C73611" w:rsidRPr="00C73611">
        <w:rPr>
          <w:szCs w:val="28"/>
        </w:rPr>
        <w:t xml:space="preserve">ООО </w:t>
      </w:r>
      <w:r w:rsidR="00B36ACA">
        <w:rPr>
          <w:szCs w:val="28"/>
        </w:rPr>
        <w:t>«</w:t>
      </w:r>
      <w:r w:rsidR="00C73611" w:rsidRPr="00C73611">
        <w:rPr>
          <w:szCs w:val="28"/>
        </w:rPr>
        <w:t>Техинлайн</w:t>
      </w:r>
      <w:r w:rsidR="00B36ACA">
        <w:rPr>
          <w:szCs w:val="28"/>
        </w:rPr>
        <w:t>»</w:t>
      </w:r>
      <w:r w:rsidR="00C73611">
        <w:rPr>
          <w:szCs w:val="28"/>
        </w:rPr>
        <w:t xml:space="preserve"> антиконкурентных соглашени</w:t>
      </w:r>
      <w:r>
        <w:rPr>
          <w:szCs w:val="28"/>
        </w:rPr>
        <w:t>й.</w:t>
      </w:r>
      <w:r w:rsidR="00C73611">
        <w:rPr>
          <w:szCs w:val="28"/>
        </w:rPr>
        <w:t xml:space="preserve"> </w:t>
      </w:r>
    </w:p>
    <w:p w:rsidR="00EA185C" w:rsidRPr="00AC39E8" w:rsidRDefault="00E819D5" w:rsidP="00344CBD">
      <w:pPr>
        <w:pStyle w:val="a9"/>
        <w:widowControl w:val="0"/>
        <w:spacing w:before="120" w:line="276" w:lineRule="auto"/>
        <w:ind w:firstLine="454"/>
      </w:pPr>
      <w:r w:rsidRPr="00AC39E8">
        <w:t xml:space="preserve">Всего </w:t>
      </w:r>
      <w:r w:rsidR="00871380">
        <w:t>за первое полугодие</w:t>
      </w:r>
      <w:r w:rsidRPr="00AC39E8">
        <w:t xml:space="preserve"> </w:t>
      </w:r>
      <w:r w:rsidR="001331E3" w:rsidRPr="00AC39E8">
        <w:t>в отношении юридических лиц и должностных лиц</w:t>
      </w:r>
      <w:r w:rsidR="001331E3">
        <w:t xml:space="preserve">, </w:t>
      </w:r>
      <w:r w:rsidRPr="00AC39E8">
        <w:t xml:space="preserve">по </w:t>
      </w:r>
      <w:r w:rsidR="001331E3">
        <w:t xml:space="preserve">фактам </w:t>
      </w:r>
      <w:r w:rsidRPr="00AC39E8">
        <w:t>нарушени</w:t>
      </w:r>
      <w:r w:rsidR="001331E3">
        <w:t>я</w:t>
      </w:r>
      <w:r w:rsidRPr="00AC39E8">
        <w:t xml:space="preserve"> антимонопольного законодательства на товарных рынках </w:t>
      </w:r>
      <w:r w:rsidR="00EA185C" w:rsidRPr="00AC39E8">
        <w:t>Тюменским УФАС России</w:t>
      </w:r>
      <w:r w:rsidR="001331E3">
        <w:t xml:space="preserve">, а также по иным основаниям (например, за непредставление информации по запросу), </w:t>
      </w:r>
      <w:r w:rsidR="00EA185C" w:rsidRPr="00AC39E8">
        <w:t xml:space="preserve"> </w:t>
      </w:r>
      <w:r w:rsidRPr="00AC39E8">
        <w:t xml:space="preserve">было возбуждено </w:t>
      </w:r>
      <w:r w:rsidR="00871380">
        <w:t>15</w:t>
      </w:r>
      <w:r w:rsidRPr="00AC39E8">
        <w:t xml:space="preserve"> административных дела</w:t>
      </w:r>
      <w:r w:rsidR="001331E3">
        <w:t xml:space="preserve"> и</w:t>
      </w:r>
      <w:r w:rsidRPr="00AC39E8">
        <w:t xml:space="preserve"> вынесено </w:t>
      </w:r>
      <w:r w:rsidR="00871380">
        <w:t>13</w:t>
      </w:r>
      <w:r w:rsidRPr="00AC39E8">
        <w:t xml:space="preserve"> постановлений о наложении штрафов на </w:t>
      </w:r>
      <w:r w:rsidR="001331E3">
        <w:t xml:space="preserve">общую </w:t>
      </w:r>
      <w:r w:rsidRPr="00AC39E8">
        <w:t xml:space="preserve">сумму </w:t>
      </w:r>
      <w:r w:rsidR="00871380">
        <w:t>4,6</w:t>
      </w:r>
      <w:r w:rsidRPr="00AC39E8">
        <w:t xml:space="preserve"> млн. рублей. </w:t>
      </w:r>
    </w:p>
    <w:p w:rsidR="0061356A" w:rsidRPr="00AC39E8" w:rsidRDefault="00871380" w:rsidP="00344CBD">
      <w:pPr>
        <w:pStyle w:val="a9"/>
        <w:widowControl w:val="0"/>
        <w:spacing w:before="120" w:line="276" w:lineRule="auto"/>
        <w:ind w:firstLine="454"/>
      </w:pPr>
      <w:r>
        <w:t>О</w:t>
      </w:r>
      <w:r w:rsidR="0061356A" w:rsidRPr="00AC39E8">
        <w:t>сновная масса выданных управлением постановлений о привлечении к административной ответственности</w:t>
      </w:r>
      <w:r>
        <w:t xml:space="preserve">, как правило, </w:t>
      </w:r>
      <w:r w:rsidR="0061356A" w:rsidRPr="00AC39E8">
        <w:t>остаются в силе, но размер штрафных санкций суды зачастую снижают.</w:t>
      </w:r>
    </w:p>
    <w:p w:rsidR="00C30826" w:rsidRDefault="00DA5B90" w:rsidP="00344CBD">
      <w:pPr>
        <w:pStyle w:val="a9"/>
        <w:widowControl w:val="0"/>
        <w:spacing w:before="120" w:line="276" w:lineRule="auto"/>
        <w:ind w:firstLine="454"/>
      </w:pPr>
      <w:r>
        <w:t>С учётом судебных решений, и</w:t>
      </w:r>
      <w:r w:rsidR="00C30826" w:rsidRPr="00AC39E8">
        <w:t>тоговая оценка деятельности управления</w:t>
      </w:r>
      <w:r w:rsidR="00C30826">
        <w:t>,</w:t>
      </w:r>
      <w:r w:rsidR="00C30826" w:rsidRPr="00AC39E8">
        <w:t xml:space="preserve"> выражающаяся в сумме штрафов</w:t>
      </w:r>
      <w:r w:rsidR="00C30826">
        <w:t>,</w:t>
      </w:r>
      <w:r w:rsidR="00C30826" w:rsidRPr="00AC39E8">
        <w:t xml:space="preserve"> </w:t>
      </w:r>
      <w:r w:rsidR="00C30826">
        <w:t>уплаченных хозяйствующими субъектами в Федеральный бюджет</w:t>
      </w:r>
      <w:r w:rsidR="00C30826" w:rsidRPr="00C30826">
        <w:t xml:space="preserve"> </w:t>
      </w:r>
      <w:r w:rsidR="00C30826">
        <w:t>за нарушение антимонопольного законодательства на товарных и финансовых рынках, составляла по итогам</w:t>
      </w:r>
      <w:r w:rsidR="00C30826" w:rsidRPr="00AC39E8">
        <w:t xml:space="preserve"> </w:t>
      </w:r>
      <w:r w:rsidR="00C30826">
        <w:t>первой половины 2017 года 4,6 млн. рублей.</w:t>
      </w:r>
    </w:p>
    <w:p w:rsidR="00C30826" w:rsidRPr="00AC39E8" w:rsidRDefault="00C30826" w:rsidP="00344CBD">
      <w:pPr>
        <w:pStyle w:val="a9"/>
        <w:widowControl w:val="0"/>
        <w:spacing w:before="120" w:line="276" w:lineRule="auto"/>
        <w:ind w:firstLine="454"/>
      </w:pPr>
    </w:p>
    <w:p w:rsidR="00344CBD" w:rsidRPr="00AC39E8" w:rsidRDefault="00344CBD" w:rsidP="00344CBD">
      <w:pPr>
        <w:pStyle w:val="a9"/>
        <w:widowControl w:val="0"/>
        <w:spacing w:before="120" w:line="276" w:lineRule="auto"/>
        <w:ind w:firstLine="454"/>
      </w:pPr>
    </w:p>
    <w:sectPr w:rsidR="00344CBD" w:rsidRPr="00AC39E8" w:rsidSect="00344CB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D3" w:rsidRDefault="008E06D3">
      <w:r>
        <w:separator/>
      </w:r>
    </w:p>
  </w:endnote>
  <w:endnote w:type="continuationSeparator" w:id="0">
    <w:p w:rsidR="008E06D3" w:rsidRDefault="008E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DD" w:rsidRDefault="009F5ADD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9F5ADD" w:rsidRDefault="009F5ADD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DD" w:rsidRDefault="009F5ADD">
    <w:pPr>
      <w:pStyle w:val="af1"/>
      <w:framePr w:wrap="around" w:vAnchor="text" w:hAnchor="margin" w:xAlign="right" w:y="1"/>
      <w:rPr>
        <w:rStyle w:val="a7"/>
      </w:rPr>
    </w:pPr>
  </w:p>
  <w:p w:rsidR="009F5ADD" w:rsidRDefault="009F5ADD" w:rsidP="003E6FB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D3" w:rsidRDefault="008E06D3">
      <w:r>
        <w:separator/>
      </w:r>
    </w:p>
  </w:footnote>
  <w:footnote w:type="continuationSeparator" w:id="0">
    <w:p w:rsidR="008E06D3" w:rsidRDefault="008E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DD" w:rsidRDefault="009F5ADD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9F5ADD" w:rsidRDefault="009F5AD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DD" w:rsidRPr="00A02FF1" w:rsidRDefault="009F5ADD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6117AB">
      <w:rPr>
        <w:noProof/>
        <w:sz w:val="20"/>
      </w:rPr>
      <w:t>14</w:t>
    </w:r>
    <w:r w:rsidRPr="00A02FF1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1754CF"/>
    <w:multiLevelType w:val="hybridMultilevel"/>
    <w:tmpl w:val="9B38238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3A0E19"/>
    <w:multiLevelType w:val="hybridMultilevel"/>
    <w:tmpl w:val="4DA8792C"/>
    <w:lvl w:ilvl="0" w:tplc="836E7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463110"/>
    <w:multiLevelType w:val="hybridMultilevel"/>
    <w:tmpl w:val="2584953C"/>
    <w:lvl w:ilvl="0" w:tplc="36E4535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8953C8"/>
    <w:multiLevelType w:val="hybridMultilevel"/>
    <w:tmpl w:val="2D822E14"/>
    <w:lvl w:ilvl="0" w:tplc="F634E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">
    <w:nsid w:val="38DC20DC"/>
    <w:multiLevelType w:val="hybridMultilevel"/>
    <w:tmpl w:val="81BECD20"/>
    <w:lvl w:ilvl="0" w:tplc="F634E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08667F"/>
    <w:multiLevelType w:val="hybridMultilevel"/>
    <w:tmpl w:val="4252CCA6"/>
    <w:lvl w:ilvl="0" w:tplc="F634EF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60E7F3C"/>
    <w:multiLevelType w:val="hybridMultilevel"/>
    <w:tmpl w:val="A86EEE56"/>
    <w:lvl w:ilvl="0" w:tplc="F634E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0F39BC"/>
    <w:multiLevelType w:val="hybridMultilevel"/>
    <w:tmpl w:val="F1BE9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2">
    <w:nsid w:val="779725D7"/>
    <w:multiLevelType w:val="hybridMultilevel"/>
    <w:tmpl w:val="B7FE0AC6"/>
    <w:lvl w:ilvl="0" w:tplc="F634E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52"/>
    <w:rsid w:val="00000D2B"/>
    <w:rsid w:val="00006DF4"/>
    <w:rsid w:val="00010F37"/>
    <w:rsid w:val="00013210"/>
    <w:rsid w:val="00016502"/>
    <w:rsid w:val="000230B9"/>
    <w:rsid w:val="00024BC3"/>
    <w:rsid w:val="00027FE2"/>
    <w:rsid w:val="000328FB"/>
    <w:rsid w:val="000437EB"/>
    <w:rsid w:val="000478BD"/>
    <w:rsid w:val="00047BD9"/>
    <w:rsid w:val="00053697"/>
    <w:rsid w:val="00056A25"/>
    <w:rsid w:val="00061137"/>
    <w:rsid w:val="00062466"/>
    <w:rsid w:val="00062B2E"/>
    <w:rsid w:val="00066634"/>
    <w:rsid w:val="00070486"/>
    <w:rsid w:val="00073023"/>
    <w:rsid w:val="00077069"/>
    <w:rsid w:val="00084F23"/>
    <w:rsid w:val="00091712"/>
    <w:rsid w:val="000958B1"/>
    <w:rsid w:val="000A46E8"/>
    <w:rsid w:val="000B0E22"/>
    <w:rsid w:val="000B2037"/>
    <w:rsid w:val="000B62AD"/>
    <w:rsid w:val="000C20D3"/>
    <w:rsid w:val="000C2529"/>
    <w:rsid w:val="000C5485"/>
    <w:rsid w:val="000C64B3"/>
    <w:rsid w:val="000D09E3"/>
    <w:rsid w:val="000D10CE"/>
    <w:rsid w:val="000D395F"/>
    <w:rsid w:val="000D6403"/>
    <w:rsid w:val="000D6B74"/>
    <w:rsid w:val="000D70C4"/>
    <w:rsid w:val="000E0A2A"/>
    <w:rsid w:val="000E30E4"/>
    <w:rsid w:val="000E39C4"/>
    <w:rsid w:val="000F01E9"/>
    <w:rsid w:val="000F7C62"/>
    <w:rsid w:val="001048CF"/>
    <w:rsid w:val="00107334"/>
    <w:rsid w:val="00114BBA"/>
    <w:rsid w:val="00116509"/>
    <w:rsid w:val="00117982"/>
    <w:rsid w:val="00122A74"/>
    <w:rsid w:val="00127A11"/>
    <w:rsid w:val="00131B1C"/>
    <w:rsid w:val="001331E3"/>
    <w:rsid w:val="00140509"/>
    <w:rsid w:val="001505D0"/>
    <w:rsid w:val="001512C9"/>
    <w:rsid w:val="001518DB"/>
    <w:rsid w:val="00151E8A"/>
    <w:rsid w:val="00156E46"/>
    <w:rsid w:val="00157CB4"/>
    <w:rsid w:val="00162579"/>
    <w:rsid w:val="00162DAD"/>
    <w:rsid w:val="00163661"/>
    <w:rsid w:val="00163C9F"/>
    <w:rsid w:val="00163DDE"/>
    <w:rsid w:val="00171D52"/>
    <w:rsid w:val="00177766"/>
    <w:rsid w:val="001815A8"/>
    <w:rsid w:val="0018426C"/>
    <w:rsid w:val="001960CA"/>
    <w:rsid w:val="001A06D1"/>
    <w:rsid w:val="001A1232"/>
    <w:rsid w:val="001A278C"/>
    <w:rsid w:val="001A4A44"/>
    <w:rsid w:val="001A59C2"/>
    <w:rsid w:val="001B10AA"/>
    <w:rsid w:val="001B1E50"/>
    <w:rsid w:val="001B31BD"/>
    <w:rsid w:val="001B5C79"/>
    <w:rsid w:val="001B724C"/>
    <w:rsid w:val="001B76F2"/>
    <w:rsid w:val="001C15E2"/>
    <w:rsid w:val="001C28FE"/>
    <w:rsid w:val="001D1BAA"/>
    <w:rsid w:val="001D230F"/>
    <w:rsid w:val="001D2E90"/>
    <w:rsid w:val="001D673D"/>
    <w:rsid w:val="001D6BC4"/>
    <w:rsid w:val="001E29CB"/>
    <w:rsid w:val="001E355D"/>
    <w:rsid w:val="001E5EF5"/>
    <w:rsid w:val="001F06E9"/>
    <w:rsid w:val="001F2043"/>
    <w:rsid w:val="001F2999"/>
    <w:rsid w:val="001F51A7"/>
    <w:rsid w:val="001F7E08"/>
    <w:rsid w:val="00201FA3"/>
    <w:rsid w:val="0020231D"/>
    <w:rsid w:val="00204A09"/>
    <w:rsid w:val="00205BDF"/>
    <w:rsid w:val="00206A34"/>
    <w:rsid w:val="002102AB"/>
    <w:rsid w:val="00210DD7"/>
    <w:rsid w:val="002126BE"/>
    <w:rsid w:val="00212BC8"/>
    <w:rsid w:val="00224B65"/>
    <w:rsid w:val="002264D3"/>
    <w:rsid w:val="00226CBD"/>
    <w:rsid w:val="00227CF8"/>
    <w:rsid w:val="00227F26"/>
    <w:rsid w:val="00230532"/>
    <w:rsid w:val="002306F6"/>
    <w:rsid w:val="00232D34"/>
    <w:rsid w:val="00235911"/>
    <w:rsid w:val="00236B29"/>
    <w:rsid w:val="00241FDA"/>
    <w:rsid w:val="00242F77"/>
    <w:rsid w:val="0025063B"/>
    <w:rsid w:val="00251F9C"/>
    <w:rsid w:val="00252853"/>
    <w:rsid w:val="002553A5"/>
    <w:rsid w:val="00255887"/>
    <w:rsid w:val="00256597"/>
    <w:rsid w:val="002642C4"/>
    <w:rsid w:val="002645B9"/>
    <w:rsid w:val="0026628B"/>
    <w:rsid w:val="0026754A"/>
    <w:rsid w:val="00271C48"/>
    <w:rsid w:val="00273BF8"/>
    <w:rsid w:val="00275530"/>
    <w:rsid w:val="00277079"/>
    <w:rsid w:val="002800E6"/>
    <w:rsid w:val="00284343"/>
    <w:rsid w:val="00284774"/>
    <w:rsid w:val="00291795"/>
    <w:rsid w:val="00291EE5"/>
    <w:rsid w:val="00293BD5"/>
    <w:rsid w:val="0029476D"/>
    <w:rsid w:val="00296409"/>
    <w:rsid w:val="0029720F"/>
    <w:rsid w:val="002976E9"/>
    <w:rsid w:val="002A2FAF"/>
    <w:rsid w:val="002A4C47"/>
    <w:rsid w:val="002B2F20"/>
    <w:rsid w:val="002B78CB"/>
    <w:rsid w:val="002C2626"/>
    <w:rsid w:val="002C4FAC"/>
    <w:rsid w:val="002C661D"/>
    <w:rsid w:val="002D066C"/>
    <w:rsid w:val="002D30B7"/>
    <w:rsid w:val="002E23DF"/>
    <w:rsid w:val="002E2AB1"/>
    <w:rsid w:val="002E556C"/>
    <w:rsid w:val="002F2320"/>
    <w:rsid w:val="002F73F3"/>
    <w:rsid w:val="002F7FCA"/>
    <w:rsid w:val="0030434D"/>
    <w:rsid w:val="00315B6B"/>
    <w:rsid w:val="00316E61"/>
    <w:rsid w:val="00317306"/>
    <w:rsid w:val="00323B55"/>
    <w:rsid w:val="00331017"/>
    <w:rsid w:val="00334DBC"/>
    <w:rsid w:val="00335379"/>
    <w:rsid w:val="00344CBD"/>
    <w:rsid w:val="00354411"/>
    <w:rsid w:val="00355818"/>
    <w:rsid w:val="00366AE5"/>
    <w:rsid w:val="003711A4"/>
    <w:rsid w:val="0037144E"/>
    <w:rsid w:val="00373680"/>
    <w:rsid w:val="00380356"/>
    <w:rsid w:val="0038075F"/>
    <w:rsid w:val="00380AC6"/>
    <w:rsid w:val="003813CA"/>
    <w:rsid w:val="00384A0D"/>
    <w:rsid w:val="003959EA"/>
    <w:rsid w:val="00395EB0"/>
    <w:rsid w:val="003A2711"/>
    <w:rsid w:val="003A358E"/>
    <w:rsid w:val="003C1C52"/>
    <w:rsid w:val="003C31FE"/>
    <w:rsid w:val="003C7B29"/>
    <w:rsid w:val="003D0074"/>
    <w:rsid w:val="003D1DB2"/>
    <w:rsid w:val="003D6C32"/>
    <w:rsid w:val="003E2575"/>
    <w:rsid w:val="003E3357"/>
    <w:rsid w:val="003E383D"/>
    <w:rsid w:val="003E68B0"/>
    <w:rsid w:val="003E69C8"/>
    <w:rsid w:val="003E6FB1"/>
    <w:rsid w:val="003F2E38"/>
    <w:rsid w:val="003F4E8A"/>
    <w:rsid w:val="003F55DC"/>
    <w:rsid w:val="003F6476"/>
    <w:rsid w:val="003F7AAA"/>
    <w:rsid w:val="004021F8"/>
    <w:rsid w:val="00403EC8"/>
    <w:rsid w:val="00405CC4"/>
    <w:rsid w:val="00410608"/>
    <w:rsid w:val="00412792"/>
    <w:rsid w:val="0041540E"/>
    <w:rsid w:val="00416CCE"/>
    <w:rsid w:val="00417436"/>
    <w:rsid w:val="00422F09"/>
    <w:rsid w:val="00423C99"/>
    <w:rsid w:val="00424B50"/>
    <w:rsid w:val="004267FA"/>
    <w:rsid w:val="00434A75"/>
    <w:rsid w:val="00436235"/>
    <w:rsid w:val="0043740C"/>
    <w:rsid w:val="00450939"/>
    <w:rsid w:val="004521A0"/>
    <w:rsid w:val="0045775E"/>
    <w:rsid w:val="00466FFA"/>
    <w:rsid w:val="00474F86"/>
    <w:rsid w:val="00475F5C"/>
    <w:rsid w:val="00481C4F"/>
    <w:rsid w:val="00484356"/>
    <w:rsid w:val="00486E44"/>
    <w:rsid w:val="00487AD1"/>
    <w:rsid w:val="0049059F"/>
    <w:rsid w:val="004954D1"/>
    <w:rsid w:val="00497106"/>
    <w:rsid w:val="004A1109"/>
    <w:rsid w:val="004A28AB"/>
    <w:rsid w:val="004A2B6B"/>
    <w:rsid w:val="004A3E9E"/>
    <w:rsid w:val="004B0876"/>
    <w:rsid w:val="004B0F3D"/>
    <w:rsid w:val="004B4659"/>
    <w:rsid w:val="004B54AF"/>
    <w:rsid w:val="004C20A6"/>
    <w:rsid w:val="004C21CF"/>
    <w:rsid w:val="004C38A7"/>
    <w:rsid w:val="004C55DC"/>
    <w:rsid w:val="004D29AC"/>
    <w:rsid w:val="004D50F9"/>
    <w:rsid w:val="004D7495"/>
    <w:rsid w:val="004F0C21"/>
    <w:rsid w:val="004F104C"/>
    <w:rsid w:val="004F3DAE"/>
    <w:rsid w:val="004F4A4B"/>
    <w:rsid w:val="004F7E35"/>
    <w:rsid w:val="005021ED"/>
    <w:rsid w:val="00503562"/>
    <w:rsid w:val="00503D13"/>
    <w:rsid w:val="005045DC"/>
    <w:rsid w:val="005117F7"/>
    <w:rsid w:val="00513540"/>
    <w:rsid w:val="00513592"/>
    <w:rsid w:val="00514FFC"/>
    <w:rsid w:val="00515393"/>
    <w:rsid w:val="0051543C"/>
    <w:rsid w:val="00517B04"/>
    <w:rsid w:val="00521E0C"/>
    <w:rsid w:val="00536E25"/>
    <w:rsid w:val="005416C7"/>
    <w:rsid w:val="00545533"/>
    <w:rsid w:val="00546777"/>
    <w:rsid w:val="0055004F"/>
    <w:rsid w:val="005502E3"/>
    <w:rsid w:val="005525C8"/>
    <w:rsid w:val="00563FE8"/>
    <w:rsid w:val="00564C1E"/>
    <w:rsid w:val="00565F4D"/>
    <w:rsid w:val="00566E09"/>
    <w:rsid w:val="0056724E"/>
    <w:rsid w:val="0056771F"/>
    <w:rsid w:val="00571297"/>
    <w:rsid w:val="00571EAF"/>
    <w:rsid w:val="0057369B"/>
    <w:rsid w:val="00576924"/>
    <w:rsid w:val="00577EBA"/>
    <w:rsid w:val="00587E30"/>
    <w:rsid w:val="00590A5F"/>
    <w:rsid w:val="00597D62"/>
    <w:rsid w:val="005A3A6D"/>
    <w:rsid w:val="005B24FB"/>
    <w:rsid w:val="005B3652"/>
    <w:rsid w:val="005B441F"/>
    <w:rsid w:val="005B4905"/>
    <w:rsid w:val="005C0325"/>
    <w:rsid w:val="005C0902"/>
    <w:rsid w:val="005C2A2F"/>
    <w:rsid w:val="005E147A"/>
    <w:rsid w:val="005F123E"/>
    <w:rsid w:val="005F6C0B"/>
    <w:rsid w:val="006117AB"/>
    <w:rsid w:val="0061287F"/>
    <w:rsid w:val="0061356A"/>
    <w:rsid w:val="0061553B"/>
    <w:rsid w:val="00622D39"/>
    <w:rsid w:val="00624D4A"/>
    <w:rsid w:val="00630A55"/>
    <w:rsid w:val="00634CE1"/>
    <w:rsid w:val="006408B4"/>
    <w:rsid w:val="0064437F"/>
    <w:rsid w:val="006473EE"/>
    <w:rsid w:val="00652062"/>
    <w:rsid w:val="00652BBB"/>
    <w:rsid w:val="006805E9"/>
    <w:rsid w:val="006808A9"/>
    <w:rsid w:val="00684BBE"/>
    <w:rsid w:val="00695BE8"/>
    <w:rsid w:val="006A0EA1"/>
    <w:rsid w:val="006A4880"/>
    <w:rsid w:val="006A4EB8"/>
    <w:rsid w:val="006C65D5"/>
    <w:rsid w:val="006D09B7"/>
    <w:rsid w:val="006E7206"/>
    <w:rsid w:val="006F279F"/>
    <w:rsid w:val="006F6966"/>
    <w:rsid w:val="00704353"/>
    <w:rsid w:val="0071361A"/>
    <w:rsid w:val="0071376C"/>
    <w:rsid w:val="00714EA5"/>
    <w:rsid w:val="00716DA6"/>
    <w:rsid w:val="00717AD6"/>
    <w:rsid w:val="00717E72"/>
    <w:rsid w:val="007210B7"/>
    <w:rsid w:val="007228D6"/>
    <w:rsid w:val="00723A79"/>
    <w:rsid w:val="00725010"/>
    <w:rsid w:val="007253C4"/>
    <w:rsid w:val="00727AE7"/>
    <w:rsid w:val="0073039F"/>
    <w:rsid w:val="00730735"/>
    <w:rsid w:val="00731072"/>
    <w:rsid w:val="00732888"/>
    <w:rsid w:val="0073296E"/>
    <w:rsid w:val="00732DDC"/>
    <w:rsid w:val="007348A8"/>
    <w:rsid w:val="00737410"/>
    <w:rsid w:val="007440BB"/>
    <w:rsid w:val="00754C4D"/>
    <w:rsid w:val="007568F2"/>
    <w:rsid w:val="00756F8A"/>
    <w:rsid w:val="00757240"/>
    <w:rsid w:val="007712F7"/>
    <w:rsid w:val="007819A9"/>
    <w:rsid w:val="007A0AFD"/>
    <w:rsid w:val="007B0C4F"/>
    <w:rsid w:val="007C34E5"/>
    <w:rsid w:val="007D5481"/>
    <w:rsid w:val="007E0B55"/>
    <w:rsid w:val="007E1F79"/>
    <w:rsid w:val="007E5E05"/>
    <w:rsid w:val="007F0622"/>
    <w:rsid w:val="007F1B36"/>
    <w:rsid w:val="007F1DED"/>
    <w:rsid w:val="007F458A"/>
    <w:rsid w:val="007F7DD7"/>
    <w:rsid w:val="00800985"/>
    <w:rsid w:val="00803C31"/>
    <w:rsid w:val="00805FED"/>
    <w:rsid w:val="008066DD"/>
    <w:rsid w:val="00807521"/>
    <w:rsid w:val="00811471"/>
    <w:rsid w:val="008117E9"/>
    <w:rsid w:val="00813368"/>
    <w:rsid w:val="00813A25"/>
    <w:rsid w:val="00813F1F"/>
    <w:rsid w:val="00814601"/>
    <w:rsid w:val="008149C3"/>
    <w:rsid w:val="008226CB"/>
    <w:rsid w:val="00826EDF"/>
    <w:rsid w:val="008277EF"/>
    <w:rsid w:val="00833073"/>
    <w:rsid w:val="00835978"/>
    <w:rsid w:val="008363A2"/>
    <w:rsid w:val="0084461A"/>
    <w:rsid w:val="00846C1E"/>
    <w:rsid w:val="00851D4F"/>
    <w:rsid w:val="00853F8D"/>
    <w:rsid w:val="008639EC"/>
    <w:rsid w:val="00866EC6"/>
    <w:rsid w:val="00871380"/>
    <w:rsid w:val="00876082"/>
    <w:rsid w:val="00876940"/>
    <w:rsid w:val="008824F7"/>
    <w:rsid w:val="00883530"/>
    <w:rsid w:val="00885F7D"/>
    <w:rsid w:val="0089026F"/>
    <w:rsid w:val="00891458"/>
    <w:rsid w:val="0089155D"/>
    <w:rsid w:val="00895B0F"/>
    <w:rsid w:val="00895C9F"/>
    <w:rsid w:val="00895F20"/>
    <w:rsid w:val="008965C7"/>
    <w:rsid w:val="008968AD"/>
    <w:rsid w:val="008A2609"/>
    <w:rsid w:val="008A532D"/>
    <w:rsid w:val="008C068E"/>
    <w:rsid w:val="008C29DB"/>
    <w:rsid w:val="008C34A1"/>
    <w:rsid w:val="008D01C6"/>
    <w:rsid w:val="008D2A8D"/>
    <w:rsid w:val="008D60CA"/>
    <w:rsid w:val="008E06D3"/>
    <w:rsid w:val="008E0AC3"/>
    <w:rsid w:val="008E25B8"/>
    <w:rsid w:val="008E57D1"/>
    <w:rsid w:val="008E6A07"/>
    <w:rsid w:val="008E74AE"/>
    <w:rsid w:val="008F067E"/>
    <w:rsid w:val="008F10F3"/>
    <w:rsid w:val="008F14C5"/>
    <w:rsid w:val="008F2420"/>
    <w:rsid w:val="008F3C5B"/>
    <w:rsid w:val="008F3C69"/>
    <w:rsid w:val="008F5395"/>
    <w:rsid w:val="00900479"/>
    <w:rsid w:val="00903B93"/>
    <w:rsid w:val="00904129"/>
    <w:rsid w:val="009041C0"/>
    <w:rsid w:val="0090663A"/>
    <w:rsid w:val="009073E4"/>
    <w:rsid w:val="009126C9"/>
    <w:rsid w:val="009160AF"/>
    <w:rsid w:val="00924C52"/>
    <w:rsid w:val="00926CDC"/>
    <w:rsid w:val="00927355"/>
    <w:rsid w:val="0092756A"/>
    <w:rsid w:val="00930741"/>
    <w:rsid w:val="00930B7B"/>
    <w:rsid w:val="00932401"/>
    <w:rsid w:val="009368F5"/>
    <w:rsid w:val="00937C82"/>
    <w:rsid w:val="00937CF1"/>
    <w:rsid w:val="00940AF4"/>
    <w:rsid w:val="0094550B"/>
    <w:rsid w:val="00946909"/>
    <w:rsid w:val="0095115F"/>
    <w:rsid w:val="0095173F"/>
    <w:rsid w:val="0095381C"/>
    <w:rsid w:val="00956F52"/>
    <w:rsid w:val="0096645C"/>
    <w:rsid w:val="009668C7"/>
    <w:rsid w:val="00970BD0"/>
    <w:rsid w:val="00974B9F"/>
    <w:rsid w:val="00976729"/>
    <w:rsid w:val="00977203"/>
    <w:rsid w:val="00981864"/>
    <w:rsid w:val="00986F3B"/>
    <w:rsid w:val="0099376D"/>
    <w:rsid w:val="009962AB"/>
    <w:rsid w:val="00997642"/>
    <w:rsid w:val="009A2412"/>
    <w:rsid w:val="009A3758"/>
    <w:rsid w:val="009A6010"/>
    <w:rsid w:val="009A7860"/>
    <w:rsid w:val="009B7C77"/>
    <w:rsid w:val="009B7D13"/>
    <w:rsid w:val="009C4DAF"/>
    <w:rsid w:val="009C56C1"/>
    <w:rsid w:val="009C7C54"/>
    <w:rsid w:val="009D149C"/>
    <w:rsid w:val="009D18A0"/>
    <w:rsid w:val="009E13C4"/>
    <w:rsid w:val="009E3BF7"/>
    <w:rsid w:val="009E565C"/>
    <w:rsid w:val="009E5CB2"/>
    <w:rsid w:val="009E7DF3"/>
    <w:rsid w:val="009F0FFB"/>
    <w:rsid w:val="009F3659"/>
    <w:rsid w:val="009F5ADD"/>
    <w:rsid w:val="00A02FF1"/>
    <w:rsid w:val="00A07E6C"/>
    <w:rsid w:val="00A13949"/>
    <w:rsid w:val="00A253EF"/>
    <w:rsid w:val="00A41AA1"/>
    <w:rsid w:val="00A5428D"/>
    <w:rsid w:val="00A546FE"/>
    <w:rsid w:val="00A55997"/>
    <w:rsid w:val="00A6108B"/>
    <w:rsid w:val="00A62F71"/>
    <w:rsid w:val="00A64961"/>
    <w:rsid w:val="00A707DD"/>
    <w:rsid w:val="00A74066"/>
    <w:rsid w:val="00A75459"/>
    <w:rsid w:val="00A85AFD"/>
    <w:rsid w:val="00A90EC2"/>
    <w:rsid w:val="00A91378"/>
    <w:rsid w:val="00A93CF3"/>
    <w:rsid w:val="00A95C9A"/>
    <w:rsid w:val="00A9722A"/>
    <w:rsid w:val="00AA06D9"/>
    <w:rsid w:val="00AB4A73"/>
    <w:rsid w:val="00AB623F"/>
    <w:rsid w:val="00AC0AFD"/>
    <w:rsid w:val="00AC39D0"/>
    <w:rsid w:val="00AC39E8"/>
    <w:rsid w:val="00AC4E1A"/>
    <w:rsid w:val="00AC62AC"/>
    <w:rsid w:val="00AC7363"/>
    <w:rsid w:val="00AD5685"/>
    <w:rsid w:val="00AD57E3"/>
    <w:rsid w:val="00AD7952"/>
    <w:rsid w:val="00AD79C0"/>
    <w:rsid w:val="00AE30AD"/>
    <w:rsid w:val="00AE610E"/>
    <w:rsid w:val="00AE74D3"/>
    <w:rsid w:val="00AE76C1"/>
    <w:rsid w:val="00AE7A18"/>
    <w:rsid w:val="00AF0655"/>
    <w:rsid w:val="00AF252F"/>
    <w:rsid w:val="00B00B54"/>
    <w:rsid w:val="00B0116B"/>
    <w:rsid w:val="00B02BCC"/>
    <w:rsid w:val="00B05750"/>
    <w:rsid w:val="00B079FB"/>
    <w:rsid w:val="00B1204F"/>
    <w:rsid w:val="00B16371"/>
    <w:rsid w:val="00B1678B"/>
    <w:rsid w:val="00B2324F"/>
    <w:rsid w:val="00B273E8"/>
    <w:rsid w:val="00B273EC"/>
    <w:rsid w:val="00B2747C"/>
    <w:rsid w:val="00B30AB7"/>
    <w:rsid w:val="00B36ACA"/>
    <w:rsid w:val="00B37596"/>
    <w:rsid w:val="00B41ECB"/>
    <w:rsid w:val="00B43D82"/>
    <w:rsid w:val="00B519BB"/>
    <w:rsid w:val="00B52035"/>
    <w:rsid w:val="00B52844"/>
    <w:rsid w:val="00B63C90"/>
    <w:rsid w:val="00B6591B"/>
    <w:rsid w:val="00B65F95"/>
    <w:rsid w:val="00B745EB"/>
    <w:rsid w:val="00B746B3"/>
    <w:rsid w:val="00B80E2E"/>
    <w:rsid w:val="00B83220"/>
    <w:rsid w:val="00B83B80"/>
    <w:rsid w:val="00B86327"/>
    <w:rsid w:val="00B866A3"/>
    <w:rsid w:val="00B86896"/>
    <w:rsid w:val="00B8708A"/>
    <w:rsid w:val="00B933D0"/>
    <w:rsid w:val="00B9375F"/>
    <w:rsid w:val="00BA2DD9"/>
    <w:rsid w:val="00BA3B08"/>
    <w:rsid w:val="00BB0DAD"/>
    <w:rsid w:val="00BB5889"/>
    <w:rsid w:val="00BB7223"/>
    <w:rsid w:val="00BB7477"/>
    <w:rsid w:val="00BC03D8"/>
    <w:rsid w:val="00BC09B6"/>
    <w:rsid w:val="00BC0EC6"/>
    <w:rsid w:val="00BC77D6"/>
    <w:rsid w:val="00BD2CC0"/>
    <w:rsid w:val="00BD2F84"/>
    <w:rsid w:val="00BD6355"/>
    <w:rsid w:val="00BD6BFF"/>
    <w:rsid w:val="00BE0C05"/>
    <w:rsid w:val="00BE170C"/>
    <w:rsid w:val="00BE21B5"/>
    <w:rsid w:val="00BE26D8"/>
    <w:rsid w:val="00BE2E4A"/>
    <w:rsid w:val="00BE3228"/>
    <w:rsid w:val="00BE3BB3"/>
    <w:rsid w:val="00BE594A"/>
    <w:rsid w:val="00BF0160"/>
    <w:rsid w:val="00BF0EC9"/>
    <w:rsid w:val="00BF6937"/>
    <w:rsid w:val="00C00CBF"/>
    <w:rsid w:val="00C0154E"/>
    <w:rsid w:val="00C01E85"/>
    <w:rsid w:val="00C07D7F"/>
    <w:rsid w:val="00C07EC0"/>
    <w:rsid w:val="00C10CE6"/>
    <w:rsid w:val="00C1113B"/>
    <w:rsid w:val="00C15BC9"/>
    <w:rsid w:val="00C16DD1"/>
    <w:rsid w:val="00C25937"/>
    <w:rsid w:val="00C302F3"/>
    <w:rsid w:val="00C30826"/>
    <w:rsid w:val="00C30FBE"/>
    <w:rsid w:val="00C35540"/>
    <w:rsid w:val="00C36D73"/>
    <w:rsid w:val="00C4153D"/>
    <w:rsid w:val="00C41DC1"/>
    <w:rsid w:val="00C43487"/>
    <w:rsid w:val="00C43DB2"/>
    <w:rsid w:val="00C52DE4"/>
    <w:rsid w:val="00C56211"/>
    <w:rsid w:val="00C56AAE"/>
    <w:rsid w:val="00C607E1"/>
    <w:rsid w:val="00C64C1C"/>
    <w:rsid w:val="00C70FF3"/>
    <w:rsid w:val="00C71A69"/>
    <w:rsid w:val="00C73611"/>
    <w:rsid w:val="00C741F5"/>
    <w:rsid w:val="00C7551B"/>
    <w:rsid w:val="00C7649D"/>
    <w:rsid w:val="00C84798"/>
    <w:rsid w:val="00C873F4"/>
    <w:rsid w:val="00C90275"/>
    <w:rsid w:val="00C90C2F"/>
    <w:rsid w:val="00C91F8E"/>
    <w:rsid w:val="00C97E8D"/>
    <w:rsid w:val="00C97F27"/>
    <w:rsid w:val="00CA5952"/>
    <w:rsid w:val="00CB0060"/>
    <w:rsid w:val="00CB224B"/>
    <w:rsid w:val="00CB2FB4"/>
    <w:rsid w:val="00CB3B53"/>
    <w:rsid w:val="00CB58EA"/>
    <w:rsid w:val="00CC211E"/>
    <w:rsid w:val="00CC243C"/>
    <w:rsid w:val="00CC7CFB"/>
    <w:rsid w:val="00CD2863"/>
    <w:rsid w:val="00CD3ED4"/>
    <w:rsid w:val="00CD4DDF"/>
    <w:rsid w:val="00CD693D"/>
    <w:rsid w:val="00CE13B1"/>
    <w:rsid w:val="00CE2575"/>
    <w:rsid w:val="00CF3F0E"/>
    <w:rsid w:val="00CF4CFD"/>
    <w:rsid w:val="00D1389F"/>
    <w:rsid w:val="00D22A5D"/>
    <w:rsid w:val="00D22B2B"/>
    <w:rsid w:val="00D2437F"/>
    <w:rsid w:val="00D24EB4"/>
    <w:rsid w:val="00D25B33"/>
    <w:rsid w:val="00D411C4"/>
    <w:rsid w:val="00D53BE3"/>
    <w:rsid w:val="00D60A4A"/>
    <w:rsid w:val="00D631B8"/>
    <w:rsid w:val="00D6335E"/>
    <w:rsid w:val="00D6792C"/>
    <w:rsid w:val="00D71440"/>
    <w:rsid w:val="00D739B6"/>
    <w:rsid w:val="00D74F70"/>
    <w:rsid w:val="00D85AC7"/>
    <w:rsid w:val="00D86187"/>
    <w:rsid w:val="00D8798B"/>
    <w:rsid w:val="00D9053F"/>
    <w:rsid w:val="00D943A9"/>
    <w:rsid w:val="00D9587E"/>
    <w:rsid w:val="00D96A86"/>
    <w:rsid w:val="00D97F9E"/>
    <w:rsid w:val="00DA398D"/>
    <w:rsid w:val="00DA5B90"/>
    <w:rsid w:val="00DA5C81"/>
    <w:rsid w:val="00DB30AA"/>
    <w:rsid w:val="00DB7E27"/>
    <w:rsid w:val="00DC3607"/>
    <w:rsid w:val="00DC5393"/>
    <w:rsid w:val="00DD05CA"/>
    <w:rsid w:val="00DD1244"/>
    <w:rsid w:val="00DD19DC"/>
    <w:rsid w:val="00DD679C"/>
    <w:rsid w:val="00DE1366"/>
    <w:rsid w:val="00DE1AE5"/>
    <w:rsid w:val="00DE4F7A"/>
    <w:rsid w:val="00DE5AD2"/>
    <w:rsid w:val="00DE5F3D"/>
    <w:rsid w:val="00DF0B97"/>
    <w:rsid w:val="00DF2AE7"/>
    <w:rsid w:val="00DF318D"/>
    <w:rsid w:val="00DF43BF"/>
    <w:rsid w:val="00DF7622"/>
    <w:rsid w:val="00E04F4D"/>
    <w:rsid w:val="00E10034"/>
    <w:rsid w:val="00E155CB"/>
    <w:rsid w:val="00E16EEF"/>
    <w:rsid w:val="00E17278"/>
    <w:rsid w:val="00E21F8C"/>
    <w:rsid w:val="00E31864"/>
    <w:rsid w:val="00E3189C"/>
    <w:rsid w:val="00E32B0B"/>
    <w:rsid w:val="00E32DC5"/>
    <w:rsid w:val="00E343B1"/>
    <w:rsid w:val="00E417E4"/>
    <w:rsid w:val="00E41D0B"/>
    <w:rsid w:val="00E42ABC"/>
    <w:rsid w:val="00E42C06"/>
    <w:rsid w:val="00E44A63"/>
    <w:rsid w:val="00E45552"/>
    <w:rsid w:val="00E465F1"/>
    <w:rsid w:val="00E50658"/>
    <w:rsid w:val="00E51412"/>
    <w:rsid w:val="00E54E99"/>
    <w:rsid w:val="00E55C2D"/>
    <w:rsid w:val="00E56226"/>
    <w:rsid w:val="00E56B01"/>
    <w:rsid w:val="00E60228"/>
    <w:rsid w:val="00E70E54"/>
    <w:rsid w:val="00E72B62"/>
    <w:rsid w:val="00E72BAB"/>
    <w:rsid w:val="00E72BEC"/>
    <w:rsid w:val="00E735CB"/>
    <w:rsid w:val="00E8175D"/>
    <w:rsid w:val="00E819D5"/>
    <w:rsid w:val="00E93590"/>
    <w:rsid w:val="00EA185C"/>
    <w:rsid w:val="00EA57C6"/>
    <w:rsid w:val="00EB183B"/>
    <w:rsid w:val="00EB31C5"/>
    <w:rsid w:val="00EB3B7F"/>
    <w:rsid w:val="00EB41D3"/>
    <w:rsid w:val="00EB57ED"/>
    <w:rsid w:val="00EB73F5"/>
    <w:rsid w:val="00EC102A"/>
    <w:rsid w:val="00EC3F7D"/>
    <w:rsid w:val="00EC6167"/>
    <w:rsid w:val="00ED6988"/>
    <w:rsid w:val="00ED7CDE"/>
    <w:rsid w:val="00EF1E76"/>
    <w:rsid w:val="00EF29B4"/>
    <w:rsid w:val="00EF6E3D"/>
    <w:rsid w:val="00F03988"/>
    <w:rsid w:val="00F14060"/>
    <w:rsid w:val="00F15D98"/>
    <w:rsid w:val="00F24F74"/>
    <w:rsid w:val="00F2531D"/>
    <w:rsid w:val="00F31198"/>
    <w:rsid w:val="00F31B63"/>
    <w:rsid w:val="00F35DBA"/>
    <w:rsid w:val="00F36A12"/>
    <w:rsid w:val="00F36BC6"/>
    <w:rsid w:val="00F5311F"/>
    <w:rsid w:val="00F54E57"/>
    <w:rsid w:val="00F578BE"/>
    <w:rsid w:val="00F63BD2"/>
    <w:rsid w:val="00F63CDB"/>
    <w:rsid w:val="00F64132"/>
    <w:rsid w:val="00F64B6C"/>
    <w:rsid w:val="00F701EB"/>
    <w:rsid w:val="00F72673"/>
    <w:rsid w:val="00F750B2"/>
    <w:rsid w:val="00F84AC5"/>
    <w:rsid w:val="00F90D28"/>
    <w:rsid w:val="00F93356"/>
    <w:rsid w:val="00F97800"/>
    <w:rsid w:val="00FA1226"/>
    <w:rsid w:val="00FA1831"/>
    <w:rsid w:val="00FA4F24"/>
    <w:rsid w:val="00FA566F"/>
    <w:rsid w:val="00FB29EC"/>
    <w:rsid w:val="00FB4214"/>
    <w:rsid w:val="00FB5036"/>
    <w:rsid w:val="00FB73AF"/>
    <w:rsid w:val="00FB7E11"/>
    <w:rsid w:val="00FD747B"/>
    <w:rsid w:val="00FE3035"/>
    <w:rsid w:val="00FE6917"/>
    <w:rsid w:val="00FE6F2A"/>
    <w:rsid w:val="00FE7FA6"/>
    <w:rsid w:val="00FF4258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B05750"/>
    <w:pPr>
      <w:numPr>
        <w:ilvl w:val="1"/>
        <w:numId w:val="1"/>
      </w:numPr>
      <w:tabs>
        <w:tab w:val="clear" w:pos="360"/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750"/>
    <w:pPr>
      <w:numPr>
        <w:ilvl w:val="2"/>
        <w:numId w:val="1"/>
      </w:numPr>
      <w:tabs>
        <w:tab w:val="clear" w:pos="360"/>
        <w:tab w:val="num" w:pos="643"/>
      </w:tabs>
      <w:ind w:left="643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ind w:left="3912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3">
    <w:name w:val="List 2"/>
    <w:basedOn w:val="a"/>
    <w:uiPriority w:val="99"/>
    <w:pPr>
      <w:ind w:left="566" w:hanging="283"/>
    </w:pPr>
  </w:style>
  <w:style w:type="paragraph" w:styleId="a8">
    <w:name w:val="List Bullet"/>
    <w:basedOn w:val="a"/>
    <w:autoRedefine/>
    <w:uiPriority w:val="99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pPr>
      <w:jc w:val="both"/>
    </w:pPr>
  </w:style>
  <w:style w:type="paragraph" w:styleId="31">
    <w:name w:val="List Bullet 3"/>
    <w:basedOn w:val="a"/>
    <w:autoRedefine/>
    <w:uiPriority w:val="99"/>
    <w:pPr>
      <w:ind w:firstLine="720"/>
      <w:jc w:val="both"/>
    </w:pPr>
  </w:style>
  <w:style w:type="paragraph" w:styleId="25">
    <w:name w:val="List Continue 2"/>
    <w:basedOn w:val="a"/>
    <w:uiPriority w:val="99"/>
    <w:pPr>
      <w:spacing w:after="120"/>
      <w:ind w:left="566"/>
    </w:pPr>
  </w:style>
  <w:style w:type="paragraph" w:styleId="32">
    <w:name w:val="List Continue 3"/>
    <w:basedOn w:val="a"/>
    <w:uiPriority w:val="99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cs="Times New Roman"/>
    </w:rPr>
  </w:style>
  <w:style w:type="character" w:styleId="af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0">
    <w:name w:val="Block Text"/>
    <w:basedOn w:val="a"/>
    <w:uiPriority w:val="99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  <w:sz w:val="28"/>
    </w:rPr>
  </w:style>
  <w:style w:type="paragraph" w:styleId="35">
    <w:name w:val="Body Text 3"/>
    <w:basedOn w:val="a"/>
    <w:link w:val="36"/>
    <w:uiPriority w:val="99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Pr>
      <w:rFonts w:cs="Times New Roman"/>
      <w:sz w:val="16"/>
      <w:szCs w:val="16"/>
    </w:rPr>
  </w:style>
  <w:style w:type="paragraph" w:styleId="af3">
    <w:name w:val="List"/>
    <w:basedOn w:val="a"/>
    <w:uiPriority w:val="99"/>
    <w:pPr>
      <w:ind w:left="283" w:hanging="283"/>
    </w:pPr>
  </w:style>
  <w:style w:type="paragraph" w:styleId="37">
    <w:name w:val="List 3"/>
    <w:basedOn w:val="a"/>
    <w:uiPriority w:val="99"/>
    <w:pPr>
      <w:ind w:left="849" w:hanging="283"/>
    </w:pPr>
  </w:style>
  <w:style w:type="paragraph" w:styleId="41">
    <w:name w:val="List 4"/>
    <w:basedOn w:val="a"/>
    <w:uiPriority w:val="99"/>
    <w:pPr>
      <w:ind w:left="1132" w:hanging="283"/>
    </w:pPr>
  </w:style>
  <w:style w:type="paragraph" w:styleId="af4">
    <w:name w:val="Date"/>
    <w:basedOn w:val="a"/>
    <w:next w:val="a"/>
    <w:link w:val="af5"/>
    <w:uiPriority w:val="99"/>
  </w:style>
  <w:style w:type="character" w:customStyle="1" w:styleId="af5">
    <w:name w:val="Дата Знак"/>
    <w:basedOn w:val="a0"/>
    <w:link w:val="af4"/>
    <w:uiPriority w:val="99"/>
    <w:semiHidden/>
    <w:locked/>
    <w:rPr>
      <w:rFonts w:cs="Times New Roman"/>
      <w:sz w:val="28"/>
    </w:rPr>
  </w:style>
  <w:style w:type="paragraph" w:styleId="af6">
    <w:name w:val="Subtitle"/>
    <w:basedOn w:val="a"/>
    <w:link w:val="af7"/>
    <w:uiPriority w:val="11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f8">
    <w:name w:val="Hyperlink"/>
    <w:basedOn w:val="a0"/>
    <w:uiPriority w:val="99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Pr>
      <w:rFonts w:cs="Times New Roman"/>
      <w:color w:val="800080"/>
      <w:u w:val="single"/>
    </w:rPr>
  </w:style>
  <w:style w:type="table" w:styleId="afa">
    <w:name w:val="Table Grid"/>
    <w:basedOn w:val="a1"/>
    <w:uiPriority w:val="59"/>
    <w:rsid w:val="0072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d">
    <w:name w:val="List Paragraph"/>
    <w:basedOn w:val="a"/>
    <w:uiPriority w:val="34"/>
    <w:qFormat/>
    <w:rsid w:val="002F73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1"/>
    <w:basedOn w:val="a"/>
    <w:rsid w:val="00E04F4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nformat">
    <w:name w:val="ConsNonformat"/>
    <w:rsid w:val="00E04F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51E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B05750"/>
    <w:pPr>
      <w:numPr>
        <w:ilvl w:val="1"/>
        <w:numId w:val="1"/>
      </w:numPr>
      <w:tabs>
        <w:tab w:val="clear" w:pos="360"/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750"/>
    <w:pPr>
      <w:numPr>
        <w:ilvl w:val="2"/>
        <w:numId w:val="1"/>
      </w:numPr>
      <w:tabs>
        <w:tab w:val="clear" w:pos="360"/>
        <w:tab w:val="num" w:pos="643"/>
      </w:tabs>
      <w:ind w:left="643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ind w:left="3912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3">
    <w:name w:val="List 2"/>
    <w:basedOn w:val="a"/>
    <w:uiPriority w:val="99"/>
    <w:pPr>
      <w:ind w:left="566" w:hanging="283"/>
    </w:pPr>
  </w:style>
  <w:style w:type="paragraph" w:styleId="a8">
    <w:name w:val="List Bullet"/>
    <w:basedOn w:val="a"/>
    <w:autoRedefine/>
    <w:uiPriority w:val="99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pPr>
      <w:jc w:val="both"/>
    </w:pPr>
  </w:style>
  <w:style w:type="paragraph" w:styleId="31">
    <w:name w:val="List Bullet 3"/>
    <w:basedOn w:val="a"/>
    <w:autoRedefine/>
    <w:uiPriority w:val="99"/>
    <w:pPr>
      <w:ind w:firstLine="720"/>
      <w:jc w:val="both"/>
    </w:pPr>
  </w:style>
  <w:style w:type="paragraph" w:styleId="25">
    <w:name w:val="List Continue 2"/>
    <w:basedOn w:val="a"/>
    <w:uiPriority w:val="99"/>
    <w:pPr>
      <w:spacing w:after="120"/>
      <w:ind w:left="566"/>
    </w:pPr>
  </w:style>
  <w:style w:type="paragraph" w:styleId="32">
    <w:name w:val="List Continue 3"/>
    <w:basedOn w:val="a"/>
    <w:uiPriority w:val="99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cs="Times New Roman"/>
    </w:rPr>
  </w:style>
  <w:style w:type="character" w:styleId="af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0">
    <w:name w:val="Block Text"/>
    <w:basedOn w:val="a"/>
    <w:uiPriority w:val="99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  <w:sz w:val="28"/>
    </w:rPr>
  </w:style>
  <w:style w:type="paragraph" w:styleId="35">
    <w:name w:val="Body Text 3"/>
    <w:basedOn w:val="a"/>
    <w:link w:val="36"/>
    <w:uiPriority w:val="99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Pr>
      <w:rFonts w:cs="Times New Roman"/>
      <w:sz w:val="16"/>
      <w:szCs w:val="16"/>
    </w:rPr>
  </w:style>
  <w:style w:type="paragraph" w:styleId="af3">
    <w:name w:val="List"/>
    <w:basedOn w:val="a"/>
    <w:uiPriority w:val="99"/>
    <w:pPr>
      <w:ind w:left="283" w:hanging="283"/>
    </w:pPr>
  </w:style>
  <w:style w:type="paragraph" w:styleId="37">
    <w:name w:val="List 3"/>
    <w:basedOn w:val="a"/>
    <w:uiPriority w:val="99"/>
    <w:pPr>
      <w:ind w:left="849" w:hanging="283"/>
    </w:pPr>
  </w:style>
  <w:style w:type="paragraph" w:styleId="41">
    <w:name w:val="List 4"/>
    <w:basedOn w:val="a"/>
    <w:uiPriority w:val="99"/>
    <w:pPr>
      <w:ind w:left="1132" w:hanging="283"/>
    </w:pPr>
  </w:style>
  <w:style w:type="paragraph" w:styleId="af4">
    <w:name w:val="Date"/>
    <w:basedOn w:val="a"/>
    <w:next w:val="a"/>
    <w:link w:val="af5"/>
    <w:uiPriority w:val="99"/>
  </w:style>
  <w:style w:type="character" w:customStyle="1" w:styleId="af5">
    <w:name w:val="Дата Знак"/>
    <w:basedOn w:val="a0"/>
    <w:link w:val="af4"/>
    <w:uiPriority w:val="99"/>
    <w:semiHidden/>
    <w:locked/>
    <w:rPr>
      <w:rFonts w:cs="Times New Roman"/>
      <w:sz w:val="28"/>
    </w:rPr>
  </w:style>
  <w:style w:type="paragraph" w:styleId="af6">
    <w:name w:val="Subtitle"/>
    <w:basedOn w:val="a"/>
    <w:link w:val="af7"/>
    <w:uiPriority w:val="11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f8">
    <w:name w:val="Hyperlink"/>
    <w:basedOn w:val="a0"/>
    <w:uiPriority w:val="99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Pr>
      <w:rFonts w:cs="Times New Roman"/>
      <w:color w:val="800080"/>
      <w:u w:val="single"/>
    </w:rPr>
  </w:style>
  <w:style w:type="table" w:styleId="afa">
    <w:name w:val="Table Grid"/>
    <w:basedOn w:val="a1"/>
    <w:uiPriority w:val="59"/>
    <w:rsid w:val="0072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d">
    <w:name w:val="List Paragraph"/>
    <w:basedOn w:val="a"/>
    <w:uiPriority w:val="34"/>
    <w:qFormat/>
    <w:rsid w:val="002F73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1"/>
    <w:basedOn w:val="a"/>
    <w:rsid w:val="00E04F4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nformat">
    <w:name w:val="ConsNonformat"/>
    <w:rsid w:val="00E04F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51E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1DC5-42EE-4AAC-AB32-3E004FFB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4648</Words>
  <Characters>26500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Костюк</vt:lpstr>
      <vt:lpstr>Антимонопольный контроль: практика выявления и пресечения нарушений Закона о защ</vt:lpstr>
      <vt:lpstr>Ответственность за заключение ограничивающего конкуренцию соглашения предусмотре</vt:lpstr>
      <vt:lpstr>Контроль соблюдения Федерального закона от 28.12.2009 № 381-ФЗ «Об основах госуд</vt:lpstr>
    </vt:vector>
  </TitlesOfParts>
  <Company>GAK</Company>
  <LinksUpToDate>false</LinksUpToDate>
  <CharactersWithSpaces>31086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creator>GAK_10</dc:creator>
  <cp:lastModifiedBy>Иванова Л.В.</cp:lastModifiedBy>
  <cp:revision>8</cp:revision>
  <cp:lastPrinted>2017-09-21T04:45:00Z</cp:lastPrinted>
  <dcterms:created xsi:type="dcterms:W3CDTF">2017-09-21T04:45:00Z</dcterms:created>
  <dcterms:modified xsi:type="dcterms:W3CDTF">2017-09-21T04:46:00Z</dcterms:modified>
</cp:coreProperties>
</file>