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CB" w:rsidRPr="00854DEF" w:rsidRDefault="00E41332" w:rsidP="00C672C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7"/>
          <w:szCs w:val="27"/>
        </w:rPr>
      </w:pPr>
      <w:bookmarkStart w:id="0" w:name="_GoBack"/>
      <w:bookmarkEnd w:id="0"/>
      <w:r w:rsidRPr="00854DEF">
        <w:rPr>
          <w:b/>
          <w:sz w:val="27"/>
          <w:szCs w:val="27"/>
        </w:rPr>
        <w:t xml:space="preserve">Доклад </w:t>
      </w:r>
      <w:r w:rsidR="008A4897" w:rsidRPr="00854DEF">
        <w:rPr>
          <w:b/>
          <w:sz w:val="27"/>
          <w:szCs w:val="27"/>
        </w:rPr>
        <w:t>в рамках проведения публичных слушаний результатов правоприменительной практики Управления Федеральной антимонопольной службы</w:t>
      </w:r>
      <w:r w:rsidR="00D86575" w:rsidRPr="00854DEF">
        <w:rPr>
          <w:b/>
          <w:sz w:val="27"/>
          <w:szCs w:val="27"/>
        </w:rPr>
        <w:t xml:space="preserve"> по Тюменской области </w:t>
      </w:r>
    </w:p>
    <w:p w:rsidR="00E41332" w:rsidRPr="00854DEF" w:rsidRDefault="00E41332" w:rsidP="00E4133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7"/>
          <w:szCs w:val="27"/>
        </w:rPr>
      </w:pPr>
      <w:r w:rsidRPr="00854DEF">
        <w:rPr>
          <w:b/>
          <w:sz w:val="27"/>
          <w:szCs w:val="27"/>
        </w:rPr>
        <w:t xml:space="preserve">«Практика по контролю </w:t>
      </w:r>
      <w:r w:rsidR="00925B18" w:rsidRPr="00854DEF">
        <w:rPr>
          <w:b/>
          <w:sz w:val="27"/>
          <w:szCs w:val="27"/>
        </w:rPr>
        <w:t xml:space="preserve"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</w:t>
      </w:r>
    </w:p>
    <w:p w:rsidR="001F339C" w:rsidRPr="00854DEF" w:rsidRDefault="001F339C" w:rsidP="00854DEF">
      <w:pPr>
        <w:jc w:val="both"/>
        <w:rPr>
          <w:sz w:val="27"/>
          <w:szCs w:val="27"/>
        </w:rPr>
      </w:pPr>
    </w:p>
    <w:p w:rsidR="004059D0" w:rsidRPr="00854DEF" w:rsidRDefault="00727B6D" w:rsidP="002A7A97">
      <w:pPr>
        <w:spacing w:after="160" w:line="259" w:lineRule="auto"/>
        <w:jc w:val="both"/>
        <w:rPr>
          <w:rFonts w:eastAsia="MS Mincho"/>
          <w:sz w:val="27"/>
          <w:szCs w:val="27"/>
        </w:rPr>
      </w:pPr>
      <w:r w:rsidRPr="00854DEF">
        <w:rPr>
          <w:rFonts w:eastAsia="MS Mincho"/>
          <w:sz w:val="27"/>
          <w:szCs w:val="27"/>
        </w:rPr>
        <w:t xml:space="preserve">          В 2016 году реализация государственной политики в области </w:t>
      </w:r>
      <w:proofErr w:type="gramStart"/>
      <w:r w:rsidRPr="00854DEF">
        <w:rPr>
          <w:rFonts w:eastAsia="MS Mincho"/>
          <w:sz w:val="27"/>
          <w:szCs w:val="27"/>
        </w:rPr>
        <w:t>контроля за</w:t>
      </w:r>
      <w:proofErr w:type="gramEnd"/>
      <w:r w:rsidRPr="00854DEF">
        <w:rPr>
          <w:rFonts w:eastAsia="MS Mincho"/>
          <w:sz w:val="27"/>
          <w:szCs w:val="27"/>
        </w:rPr>
        <w:t xml:space="preserve"> соблюдением законодательства Российской Федерации о контрактной системе в сфере закупок Тюменским УФАС России проводилась по следующим направлениям:</w:t>
      </w:r>
    </w:p>
    <w:p w:rsidR="00727B6D" w:rsidRPr="00854DEF" w:rsidRDefault="002A7A97" w:rsidP="00E41332">
      <w:pPr>
        <w:autoSpaceDE w:val="0"/>
        <w:autoSpaceDN w:val="0"/>
        <w:adjustRightInd w:val="0"/>
        <w:ind w:firstLine="539"/>
        <w:jc w:val="both"/>
        <w:rPr>
          <w:i/>
          <w:sz w:val="27"/>
          <w:szCs w:val="27"/>
        </w:rPr>
      </w:pPr>
      <w:r w:rsidRPr="00854DEF">
        <w:rPr>
          <w:b/>
          <w:sz w:val="27"/>
          <w:szCs w:val="27"/>
        </w:rPr>
        <w:t xml:space="preserve">    </w:t>
      </w:r>
      <w:r w:rsidR="00727B6D" w:rsidRPr="00854DEF">
        <w:rPr>
          <w:b/>
          <w:i/>
          <w:sz w:val="27"/>
          <w:szCs w:val="27"/>
        </w:rPr>
        <w:t>Рассмотрение жалоб участников закупок</w:t>
      </w:r>
    </w:p>
    <w:p w:rsidR="00727B6D" w:rsidRPr="00854DEF" w:rsidRDefault="00727B6D" w:rsidP="00E41332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</w:p>
    <w:p w:rsidR="0070666C" w:rsidRPr="00854DEF" w:rsidRDefault="0070666C" w:rsidP="008A4897">
      <w:pPr>
        <w:shd w:val="clear" w:color="auto" w:fill="FFFFFF"/>
        <w:ind w:firstLine="709"/>
        <w:contextualSpacing/>
        <w:jc w:val="both"/>
        <w:rPr>
          <w:rFonts w:eastAsia="Cambria"/>
          <w:sz w:val="27"/>
          <w:szCs w:val="27"/>
          <w:lang w:eastAsia="en-US"/>
        </w:rPr>
      </w:pPr>
      <w:r w:rsidRPr="00854DEF">
        <w:rPr>
          <w:rFonts w:eastAsia="Cambria"/>
          <w:sz w:val="27"/>
          <w:szCs w:val="27"/>
          <w:lang w:eastAsia="en-US"/>
        </w:rPr>
        <w:t xml:space="preserve">  </w:t>
      </w:r>
      <w:r w:rsidR="00727B6D" w:rsidRPr="00854DEF">
        <w:rPr>
          <w:rFonts w:eastAsia="Cambria"/>
          <w:sz w:val="27"/>
          <w:szCs w:val="27"/>
          <w:lang w:eastAsia="en-US"/>
        </w:rPr>
        <w:t xml:space="preserve">В целях защиты прав и законных интересов участников закупок ФАС России осуществляет рассмотрение жалоб участников закупок, поданных в соответствии с главой </w:t>
      </w:r>
      <w:r w:rsidRPr="00854DEF">
        <w:rPr>
          <w:sz w:val="27"/>
          <w:szCs w:val="27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727B6D" w:rsidRPr="00854DEF">
        <w:rPr>
          <w:rFonts w:eastAsia="Cambria"/>
          <w:sz w:val="27"/>
          <w:szCs w:val="27"/>
          <w:lang w:eastAsia="en-US"/>
        </w:rPr>
        <w:t>.</w:t>
      </w:r>
    </w:p>
    <w:p w:rsidR="0070666C" w:rsidRPr="00854DEF" w:rsidRDefault="00727B6D" w:rsidP="0070666C">
      <w:pPr>
        <w:shd w:val="clear" w:color="auto" w:fill="FFFFFF"/>
        <w:ind w:firstLine="709"/>
        <w:contextualSpacing/>
        <w:jc w:val="both"/>
        <w:rPr>
          <w:rFonts w:eastAsia="Cambria"/>
          <w:sz w:val="27"/>
          <w:szCs w:val="27"/>
          <w:lang w:eastAsia="en-US"/>
        </w:rPr>
      </w:pPr>
      <w:r w:rsidRPr="00854DEF">
        <w:rPr>
          <w:rFonts w:eastAsia="Cambria"/>
          <w:sz w:val="27"/>
          <w:szCs w:val="27"/>
          <w:lang w:eastAsia="en-US"/>
        </w:rPr>
        <w:t xml:space="preserve">В 2016 году в </w:t>
      </w:r>
      <w:r w:rsidR="0070666C" w:rsidRPr="00854DEF">
        <w:rPr>
          <w:rFonts w:eastAsia="Cambria"/>
          <w:sz w:val="27"/>
          <w:szCs w:val="27"/>
          <w:lang w:eastAsia="en-US"/>
        </w:rPr>
        <w:t xml:space="preserve">Тюменское УФАС России поступило </w:t>
      </w:r>
      <w:r w:rsidR="0070666C" w:rsidRPr="00854DEF">
        <w:rPr>
          <w:rFonts w:eastAsia="Cambria"/>
          <w:b/>
          <w:sz w:val="27"/>
          <w:szCs w:val="27"/>
          <w:lang w:eastAsia="en-US"/>
        </w:rPr>
        <w:t>514</w:t>
      </w:r>
      <w:r w:rsidR="0070666C" w:rsidRPr="00854DEF">
        <w:rPr>
          <w:rFonts w:eastAsia="Cambria"/>
          <w:sz w:val="27"/>
          <w:szCs w:val="27"/>
          <w:lang w:eastAsia="en-US"/>
        </w:rPr>
        <w:t xml:space="preserve"> жалоб</w:t>
      </w:r>
      <w:r w:rsidRPr="00854DEF">
        <w:rPr>
          <w:rFonts w:eastAsia="Cambria"/>
          <w:sz w:val="27"/>
          <w:szCs w:val="27"/>
          <w:lang w:eastAsia="en-US"/>
        </w:rPr>
        <w:t xml:space="preserve"> на действия (бездействия)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оператора электронной площадки при осуществлении закупок в соответствии с требованиями Закона о контрактной системе. </w:t>
      </w:r>
    </w:p>
    <w:p w:rsidR="00727B6D" w:rsidRPr="00854DEF" w:rsidRDefault="00727B6D" w:rsidP="0070666C">
      <w:pPr>
        <w:shd w:val="clear" w:color="auto" w:fill="FFFFFF"/>
        <w:ind w:firstLine="709"/>
        <w:contextualSpacing/>
        <w:jc w:val="both"/>
        <w:rPr>
          <w:rFonts w:eastAsia="Cambria"/>
          <w:sz w:val="27"/>
          <w:szCs w:val="27"/>
          <w:lang w:eastAsia="en-US"/>
        </w:rPr>
      </w:pPr>
      <w:r w:rsidRPr="00854DEF">
        <w:rPr>
          <w:rFonts w:eastAsia="Cambria"/>
          <w:sz w:val="27"/>
          <w:szCs w:val="27"/>
          <w:lang w:eastAsia="en-US"/>
        </w:rPr>
        <w:t xml:space="preserve">Из поступивших жалоб, </w:t>
      </w:r>
      <w:r w:rsidR="0070666C" w:rsidRPr="00854DEF">
        <w:rPr>
          <w:rFonts w:eastAsia="Cambria"/>
          <w:b/>
          <w:sz w:val="27"/>
          <w:szCs w:val="27"/>
          <w:lang w:eastAsia="en-US"/>
        </w:rPr>
        <w:t>86</w:t>
      </w:r>
      <w:r w:rsidR="0070666C" w:rsidRPr="00854DEF">
        <w:rPr>
          <w:rFonts w:eastAsia="Cambria"/>
          <w:sz w:val="27"/>
          <w:szCs w:val="27"/>
          <w:lang w:eastAsia="en-US"/>
        </w:rPr>
        <w:t xml:space="preserve"> </w:t>
      </w:r>
      <w:r w:rsidRPr="00854DEF">
        <w:rPr>
          <w:rFonts w:eastAsia="Cambria"/>
          <w:sz w:val="27"/>
          <w:szCs w:val="27"/>
          <w:lang w:eastAsia="en-US"/>
        </w:rPr>
        <w:t xml:space="preserve">поданы в </w:t>
      </w:r>
      <w:r w:rsidRPr="00854DEF">
        <w:rPr>
          <w:rFonts w:eastAsia="Cambria"/>
          <w:spacing w:val="-6"/>
          <w:sz w:val="27"/>
          <w:szCs w:val="27"/>
          <w:lang w:eastAsia="en-US"/>
        </w:rPr>
        <w:t>отношении закупок, осуществляемых дл</w:t>
      </w:r>
      <w:r w:rsidR="0070666C" w:rsidRPr="00854DEF">
        <w:rPr>
          <w:rFonts w:eastAsia="Cambria"/>
          <w:spacing w:val="-6"/>
          <w:sz w:val="27"/>
          <w:szCs w:val="27"/>
          <w:lang w:eastAsia="en-US"/>
        </w:rPr>
        <w:t xml:space="preserve">я обеспечения федеральных нужд  (рассмотрено 64, из них 39 признаны необоснованными), </w:t>
      </w:r>
      <w:r w:rsidR="0070666C" w:rsidRPr="00854DEF">
        <w:rPr>
          <w:rFonts w:eastAsia="Cambria"/>
          <w:b/>
          <w:spacing w:val="-6"/>
          <w:sz w:val="27"/>
          <w:szCs w:val="27"/>
          <w:lang w:eastAsia="en-US"/>
        </w:rPr>
        <w:t>218</w:t>
      </w:r>
      <w:r w:rsidR="0070666C" w:rsidRPr="00854DEF">
        <w:rPr>
          <w:rFonts w:eastAsia="Cambria"/>
          <w:spacing w:val="-6"/>
          <w:sz w:val="27"/>
          <w:szCs w:val="27"/>
          <w:lang w:eastAsia="en-US"/>
        </w:rPr>
        <w:t xml:space="preserve"> </w:t>
      </w:r>
      <w:r w:rsidRPr="00854DEF">
        <w:rPr>
          <w:rFonts w:eastAsia="Cambria"/>
          <w:spacing w:val="-6"/>
          <w:sz w:val="27"/>
          <w:szCs w:val="27"/>
          <w:lang w:eastAsia="en-US"/>
        </w:rPr>
        <w:t xml:space="preserve">– </w:t>
      </w:r>
      <w:r w:rsidRPr="00854DEF">
        <w:rPr>
          <w:rFonts w:eastAsia="Cambria"/>
          <w:sz w:val="27"/>
          <w:szCs w:val="27"/>
          <w:lang w:eastAsia="en-US"/>
        </w:rPr>
        <w:t xml:space="preserve">для нужд </w:t>
      </w:r>
      <w:r w:rsidR="0070666C" w:rsidRPr="00854DEF">
        <w:rPr>
          <w:rFonts w:eastAsia="Cambria"/>
          <w:sz w:val="27"/>
          <w:szCs w:val="27"/>
          <w:lang w:eastAsia="en-US"/>
        </w:rPr>
        <w:t xml:space="preserve">субъектов Российской Федерации </w:t>
      </w:r>
      <w:r w:rsidR="0070666C" w:rsidRPr="00854DEF">
        <w:rPr>
          <w:rFonts w:eastAsia="Cambria"/>
          <w:spacing w:val="-6"/>
          <w:sz w:val="27"/>
          <w:szCs w:val="27"/>
          <w:lang w:eastAsia="en-US"/>
        </w:rPr>
        <w:t xml:space="preserve">(рассмотрено 160, из них 147 признаны необоснованными), </w:t>
      </w:r>
      <w:r w:rsidR="0070666C" w:rsidRPr="00854DEF">
        <w:rPr>
          <w:rFonts w:eastAsia="Cambria"/>
          <w:b/>
          <w:spacing w:val="-6"/>
          <w:sz w:val="27"/>
          <w:szCs w:val="27"/>
          <w:lang w:eastAsia="en-US"/>
        </w:rPr>
        <w:t>210</w:t>
      </w:r>
      <w:r w:rsidR="0070666C" w:rsidRPr="00854DEF">
        <w:rPr>
          <w:rFonts w:eastAsia="Cambria"/>
          <w:sz w:val="27"/>
          <w:szCs w:val="27"/>
          <w:lang w:eastAsia="en-US"/>
        </w:rPr>
        <w:t xml:space="preserve"> для муниципальных нужд </w:t>
      </w:r>
      <w:r w:rsidR="0070666C" w:rsidRPr="00854DEF">
        <w:rPr>
          <w:rFonts w:eastAsia="Cambria"/>
          <w:spacing w:val="-6"/>
          <w:sz w:val="27"/>
          <w:szCs w:val="27"/>
          <w:lang w:eastAsia="en-US"/>
        </w:rPr>
        <w:t>(рассмотрено 140, из них 103 признаны необоснованными)</w:t>
      </w:r>
    </w:p>
    <w:p w:rsidR="00727B6D" w:rsidRPr="00854DEF" w:rsidRDefault="00854DEF" w:rsidP="00727B6D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854DEF">
        <w:rPr>
          <w:rFonts w:eastAsia="Cambria"/>
          <w:sz w:val="27"/>
          <w:szCs w:val="27"/>
          <w:lang w:eastAsia="en-US"/>
        </w:rPr>
        <w:t xml:space="preserve">  </w:t>
      </w:r>
      <w:r w:rsidR="00727B6D" w:rsidRPr="00854DEF">
        <w:rPr>
          <w:rFonts w:eastAsia="Cambria"/>
          <w:sz w:val="27"/>
          <w:szCs w:val="27"/>
          <w:lang w:eastAsia="en-US"/>
        </w:rPr>
        <w:t>В 2016 году на основании части 11 статьи 105 Зак</w:t>
      </w:r>
      <w:r w:rsidR="0070666C" w:rsidRPr="00854DEF">
        <w:rPr>
          <w:rFonts w:eastAsia="Cambria"/>
          <w:sz w:val="27"/>
          <w:szCs w:val="27"/>
          <w:lang w:eastAsia="en-US"/>
        </w:rPr>
        <w:t>она о контрактной системе 111 жалоб</w:t>
      </w:r>
      <w:r w:rsidR="00727B6D" w:rsidRPr="00854DEF">
        <w:rPr>
          <w:rFonts w:eastAsia="Cambria"/>
          <w:sz w:val="27"/>
          <w:szCs w:val="27"/>
          <w:lang w:eastAsia="en-US"/>
        </w:rPr>
        <w:t xml:space="preserve"> возвращены заявителям</w:t>
      </w:r>
      <w:r w:rsidR="0070666C" w:rsidRPr="00854DEF">
        <w:rPr>
          <w:rFonts w:eastAsia="Cambria"/>
          <w:sz w:val="27"/>
          <w:szCs w:val="27"/>
          <w:lang w:eastAsia="en-US"/>
        </w:rPr>
        <w:t xml:space="preserve"> без рассмотрения по существу</w:t>
      </w:r>
      <w:r w:rsidR="00727B6D" w:rsidRPr="00854DEF">
        <w:rPr>
          <w:rFonts w:eastAsia="Cambria"/>
          <w:sz w:val="27"/>
          <w:szCs w:val="27"/>
          <w:lang w:eastAsia="en-US"/>
        </w:rPr>
        <w:t xml:space="preserve">. Кроме того, на основании части 15 статьи 105 Закона о контрактной системе </w:t>
      </w:r>
      <w:r w:rsidR="0070666C" w:rsidRPr="00854DEF">
        <w:rPr>
          <w:rFonts w:eastAsia="Cambria"/>
          <w:sz w:val="27"/>
          <w:szCs w:val="27"/>
          <w:lang w:eastAsia="en-US"/>
        </w:rPr>
        <w:t>39 жалоб</w:t>
      </w:r>
      <w:r w:rsidR="00727B6D" w:rsidRPr="00854DEF">
        <w:rPr>
          <w:rFonts w:eastAsia="Cambria"/>
          <w:sz w:val="27"/>
          <w:szCs w:val="27"/>
          <w:lang w:eastAsia="en-US"/>
        </w:rPr>
        <w:t xml:space="preserve"> отозваны заявителями.</w:t>
      </w:r>
    </w:p>
    <w:p w:rsidR="002A7A97" w:rsidRPr="00854DEF" w:rsidRDefault="002A7A97" w:rsidP="002A7A97">
      <w:pPr>
        <w:ind w:firstLine="709"/>
        <w:contextualSpacing/>
        <w:jc w:val="both"/>
        <w:rPr>
          <w:rFonts w:eastAsia="Cambria"/>
          <w:sz w:val="27"/>
          <w:szCs w:val="27"/>
          <w:lang w:eastAsia="en-US"/>
        </w:rPr>
      </w:pPr>
      <w:r w:rsidRPr="00854DEF">
        <w:rPr>
          <w:rFonts w:eastAsia="Cambria"/>
          <w:sz w:val="27"/>
          <w:szCs w:val="27"/>
          <w:lang w:eastAsia="en-US"/>
        </w:rPr>
        <w:t xml:space="preserve">В результате рассмотрения жалоб выдано </w:t>
      </w:r>
      <w:r w:rsidRPr="00854DEF">
        <w:rPr>
          <w:rFonts w:eastAsia="Cambria"/>
          <w:b/>
          <w:sz w:val="27"/>
          <w:szCs w:val="27"/>
          <w:lang w:eastAsia="en-US"/>
        </w:rPr>
        <w:t>78</w:t>
      </w:r>
      <w:r w:rsidRPr="00854DEF">
        <w:rPr>
          <w:rFonts w:eastAsia="Cambria"/>
          <w:sz w:val="27"/>
          <w:szCs w:val="27"/>
          <w:lang w:eastAsia="en-US"/>
        </w:rPr>
        <w:t xml:space="preserve"> предписаний об устранении выявленных нарушений законодательства Российской Федерации о контрактной системе в сфере закупок, которые были исполнены подконтрольными субъектами </w:t>
      </w:r>
      <w:r w:rsidRPr="00854DEF">
        <w:rPr>
          <w:sz w:val="27"/>
          <w:szCs w:val="27"/>
        </w:rPr>
        <w:t>в полном объеме и в установленные сроки</w:t>
      </w:r>
    </w:p>
    <w:p w:rsidR="00727B6D" w:rsidRPr="00854DEF" w:rsidRDefault="00727B6D" w:rsidP="00E41332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</w:p>
    <w:p w:rsidR="0070666C" w:rsidRPr="00854DEF" w:rsidRDefault="002A7A97" w:rsidP="002A7A9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54DEF">
        <w:rPr>
          <w:b/>
          <w:i/>
          <w:sz w:val="27"/>
          <w:szCs w:val="27"/>
        </w:rPr>
        <w:t xml:space="preserve">       </w:t>
      </w:r>
      <w:r w:rsidR="000F01AB" w:rsidRPr="00854DEF">
        <w:rPr>
          <w:b/>
          <w:i/>
          <w:sz w:val="27"/>
          <w:szCs w:val="27"/>
        </w:rPr>
        <w:t xml:space="preserve"> </w:t>
      </w:r>
      <w:r w:rsidRPr="00854DEF">
        <w:rPr>
          <w:b/>
          <w:i/>
          <w:sz w:val="27"/>
          <w:szCs w:val="27"/>
        </w:rPr>
        <w:t>Осуществление плановых и внеплановых проверок</w:t>
      </w:r>
    </w:p>
    <w:p w:rsidR="0070666C" w:rsidRPr="00854DEF" w:rsidRDefault="0070666C" w:rsidP="00E41332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</w:p>
    <w:p w:rsidR="002A7A97" w:rsidRPr="00854DEF" w:rsidRDefault="002A7A97" w:rsidP="000F01AB">
      <w:pPr>
        <w:ind w:firstLine="283"/>
        <w:jc w:val="both"/>
        <w:rPr>
          <w:sz w:val="27"/>
          <w:szCs w:val="27"/>
        </w:rPr>
      </w:pPr>
      <w:r w:rsidRPr="00854DEF">
        <w:rPr>
          <w:sz w:val="27"/>
          <w:szCs w:val="27"/>
        </w:rPr>
        <w:t xml:space="preserve">      В 2016</w:t>
      </w:r>
      <w:r w:rsidR="00E41332" w:rsidRPr="00854DEF">
        <w:rPr>
          <w:sz w:val="27"/>
          <w:szCs w:val="27"/>
        </w:rPr>
        <w:t xml:space="preserve"> году Тюменским УФАС России </w:t>
      </w:r>
      <w:proofErr w:type="gramStart"/>
      <w:r w:rsidR="00E41332" w:rsidRPr="00854DEF">
        <w:rPr>
          <w:sz w:val="27"/>
          <w:szCs w:val="27"/>
        </w:rPr>
        <w:t>согласно плана</w:t>
      </w:r>
      <w:proofErr w:type="gramEnd"/>
      <w:r w:rsidR="00E41332" w:rsidRPr="00854DEF">
        <w:rPr>
          <w:sz w:val="27"/>
          <w:szCs w:val="27"/>
        </w:rPr>
        <w:t xml:space="preserve"> проведения плановых проверок соблюдения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</w:t>
      </w:r>
      <w:r w:rsidRPr="00854DEF">
        <w:rPr>
          <w:sz w:val="27"/>
          <w:szCs w:val="27"/>
        </w:rPr>
        <w:t xml:space="preserve">проведено </w:t>
      </w:r>
      <w:r w:rsidRPr="00854DEF">
        <w:rPr>
          <w:b/>
          <w:sz w:val="27"/>
          <w:szCs w:val="27"/>
        </w:rPr>
        <w:t>1</w:t>
      </w:r>
      <w:r w:rsidRPr="00854DEF">
        <w:rPr>
          <w:sz w:val="27"/>
          <w:szCs w:val="27"/>
        </w:rPr>
        <w:t xml:space="preserve"> плановое контрольное </w:t>
      </w:r>
      <w:r w:rsidRPr="00854DEF">
        <w:rPr>
          <w:sz w:val="27"/>
          <w:szCs w:val="27"/>
        </w:rPr>
        <w:lastRenderedPageBreak/>
        <w:t>мероприятие в рамках которой</w:t>
      </w:r>
      <w:r w:rsidR="00E41332" w:rsidRPr="00854DEF">
        <w:rPr>
          <w:sz w:val="27"/>
          <w:szCs w:val="27"/>
        </w:rPr>
        <w:t xml:space="preserve"> установлены нарушения законодательства.</w:t>
      </w:r>
      <w:r w:rsidRPr="00854DEF">
        <w:rPr>
          <w:sz w:val="27"/>
          <w:szCs w:val="27"/>
        </w:rPr>
        <w:t xml:space="preserve"> </w:t>
      </w:r>
      <w:proofErr w:type="gramStart"/>
      <w:r w:rsidRPr="00854DEF">
        <w:rPr>
          <w:sz w:val="27"/>
          <w:szCs w:val="27"/>
        </w:rPr>
        <w:t>В рамках проведенной проверки проверено 185 процедур определения поставщика (подрядчика, исполнителя), из которых в 18 процедурах  выявлены нарушения.</w:t>
      </w:r>
      <w:proofErr w:type="gramEnd"/>
    </w:p>
    <w:p w:rsidR="00860EF7" w:rsidRPr="00854DEF" w:rsidRDefault="002A7A97" w:rsidP="00860EF7">
      <w:pPr>
        <w:pStyle w:val="21"/>
        <w:ind w:firstLine="0"/>
        <w:rPr>
          <w:rFonts w:eastAsia="Cambria"/>
          <w:sz w:val="27"/>
          <w:szCs w:val="27"/>
          <w:lang w:eastAsia="en-US"/>
        </w:rPr>
      </w:pPr>
      <w:r w:rsidRPr="00854DEF">
        <w:rPr>
          <w:sz w:val="27"/>
          <w:szCs w:val="27"/>
        </w:rPr>
        <w:t xml:space="preserve">        </w:t>
      </w:r>
      <w:proofErr w:type="gramStart"/>
      <w:r w:rsidRPr="00854DEF">
        <w:rPr>
          <w:sz w:val="27"/>
          <w:szCs w:val="27"/>
        </w:rPr>
        <w:t xml:space="preserve">Кроме того, в соответствии с ч. 3 статьи 99 Закона о контрактной системе осуществлено </w:t>
      </w:r>
      <w:r w:rsidR="00860EF7" w:rsidRPr="00854DEF">
        <w:rPr>
          <w:b/>
          <w:sz w:val="27"/>
          <w:szCs w:val="27"/>
        </w:rPr>
        <w:t>14</w:t>
      </w:r>
      <w:r w:rsidRPr="00854DEF">
        <w:rPr>
          <w:sz w:val="27"/>
          <w:szCs w:val="27"/>
        </w:rPr>
        <w:t xml:space="preserve"> внеплановых контрольных мероприятия </w:t>
      </w:r>
      <w:r w:rsidR="00860EF7" w:rsidRPr="00854DEF">
        <w:rPr>
          <w:rFonts w:eastAsia="Cambria"/>
          <w:sz w:val="27"/>
          <w:szCs w:val="27"/>
          <w:lang w:eastAsia="en-US"/>
        </w:rPr>
        <w:t>проверено 32 процедуры определения поставщика (подрядчика, исполнителя), из которых в  29 процедурах выявлены нарушения.</w:t>
      </w:r>
      <w:proofErr w:type="gramEnd"/>
      <w:r w:rsidR="00860EF7" w:rsidRPr="00854DEF">
        <w:rPr>
          <w:rFonts w:eastAsia="Cambria"/>
          <w:sz w:val="27"/>
          <w:szCs w:val="27"/>
          <w:lang w:eastAsia="en-US"/>
        </w:rPr>
        <w:t xml:space="preserve"> По результатам проверок выдано 3 предписания об устранении нарушений законодательства Российской Федерации о контрактной системе в сфере закупок.</w:t>
      </w:r>
    </w:p>
    <w:p w:rsidR="008C5576" w:rsidRPr="00854DEF" w:rsidRDefault="008C5576" w:rsidP="00860EF7">
      <w:pPr>
        <w:jc w:val="both"/>
        <w:rPr>
          <w:sz w:val="27"/>
          <w:szCs w:val="27"/>
        </w:rPr>
      </w:pPr>
    </w:p>
    <w:p w:rsidR="00F4740F" w:rsidRPr="00854DEF" w:rsidRDefault="00F4740F" w:rsidP="00F4740F">
      <w:pPr>
        <w:ind w:firstLine="709"/>
        <w:jc w:val="both"/>
        <w:rPr>
          <w:b/>
          <w:i/>
          <w:sz w:val="27"/>
          <w:szCs w:val="27"/>
        </w:rPr>
      </w:pPr>
      <w:r w:rsidRPr="00854DEF">
        <w:rPr>
          <w:b/>
          <w:i/>
          <w:sz w:val="27"/>
          <w:szCs w:val="27"/>
        </w:rPr>
        <w:t>Административная практика</w:t>
      </w:r>
    </w:p>
    <w:p w:rsidR="00F4740F" w:rsidRPr="00854DEF" w:rsidRDefault="00F4740F" w:rsidP="00F4740F">
      <w:pPr>
        <w:ind w:firstLine="709"/>
        <w:jc w:val="both"/>
        <w:rPr>
          <w:b/>
          <w:i/>
          <w:sz w:val="27"/>
          <w:szCs w:val="27"/>
        </w:rPr>
      </w:pPr>
    </w:p>
    <w:p w:rsidR="00F4740F" w:rsidRPr="00854DEF" w:rsidRDefault="00F4740F" w:rsidP="00F4740F">
      <w:pPr>
        <w:ind w:firstLine="709"/>
        <w:jc w:val="both"/>
        <w:rPr>
          <w:sz w:val="27"/>
          <w:szCs w:val="27"/>
        </w:rPr>
      </w:pPr>
      <w:r w:rsidRPr="00854DEF">
        <w:rPr>
          <w:sz w:val="27"/>
          <w:szCs w:val="27"/>
        </w:rPr>
        <w:t xml:space="preserve">В 2016 году в отношении должностных лиц заказчиков, в том числе членов комиссий, работников контрактных служб, контрактных управляющих принято </w:t>
      </w:r>
      <w:r w:rsidRPr="00854DEF">
        <w:rPr>
          <w:b/>
          <w:sz w:val="27"/>
          <w:szCs w:val="27"/>
        </w:rPr>
        <w:t>178</w:t>
      </w:r>
      <w:r w:rsidRPr="00854DEF">
        <w:rPr>
          <w:sz w:val="27"/>
          <w:szCs w:val="27"/>
        </w:rPr>
        <w:t xml:space="preserve"> постановлений о назначении административных наказаний за нарушение  законодательства о контрактной системе в сфере закупок товаров работ, услуг для государственных и муниципальных нужд по статьям  7.29.-7.32. КоАП РФ и  </w:t>
      </w:r>
      <w:r w:rsidRPr="00854DEF">
        <w:rPr>
          <w:b/>
          <w:sz w:val="27"/>
          <w:szCs w:val="27"/>
        </w:rPr>
        <w:t>1</w:t>
      </w:r>
      <w:r w:rsidRPr="00854DEF">
        <w:rPr>
          <w:sz w:val="27"/>
          <w:szCs w:val="27"/>
        </w:rPr>
        <w:t xml:space="preserve"> (одно) постановление принято в отношении </w:t>
      </w:r>
      <w:r w:rsidRPr="00854DEF">
        <w:rPr>
          <w:b/>
          <w:sz w:val="27"/>
          <w:szCs w:val="27"/>
        </w:rPr>
        <w:t>юридического лица</w:t>
      </w:r>
      <w:r w:rsidRPr="00854DEF">
        <w:rPr>
          <w:sz w:val="27"/>
          <w:szCs w:val="27"/>
        </w:rPr>
        <w:t>.</w:t>
      </w:r>
    </w:p>
    <w:p w:rsidR="00F4740F" w:rsidRPr="00854DEF" w:rsidRDefault="00F4740F" w:rsidP="00F4740F">
      <w:pPr>
        <w:ind w:firstLine="709"/>
        <w:jc w:val="both"/>
        <w:rPr>
          <w:sz w:val="27"/>
          <w:szCs w:val="27"/>
        </w:rPr>
      </w:pPr>
      <w:r w:rsidRPr="00854DEF">
        <w:rPr>
          <w:sz w:val="27"/>
          <w:szCs w:val="27"/>
        </w:rPr>
        <w:t xml:space="preserve">Всего наложено административных штрафов в 2016 году  на </w:t>
      </w:r>
      <w:r w:rsidRPr="00854DEF">
        <w:rPr>
          <w:b/>
          <w:sz w:val="27"/>
          <w:szCs w:val="27"/>
        </w:rPr>
        <w:t xml:space="preserve">сумму 2 </w:t>
      </w:r>
      <w:proofErr w:type="gramStart"/>
      <w:r w:rsidRPr="00854DEF">
        <w:rPr>
          <w:b/>
          <w:sz w:val="27"/>
          <w:szCs w:val="27"/>
        </w:rPr>
        <w:t>млн</w:t>
      </w:r>
      <w:proofErr w:type="gramEnd"/>
      <w:r w:rsidRPr="00854DEF">
        <w:rPr>
          <w:b/>
          <w:sz w:val="27"/>
          <w:szCs w:val="27"/>
        </w:rPr>
        <w:t xml:space="preserve"> 768, 2</w:t>
      </w:r>
      <w:r w:rsidRPr="00854DEF">
        <w:rPr>
          <w:sz w:val="27"/>
          <w:szCs w:val="27"/>
        </w:rPr>
        <w:t xml:space="preserve"> рублей, в том числе по постановлением прокуратур ТО </w:t>
      </w:r>
      <w:r w:rsidRPr="00854DEF">
        <w:rPr>
          <w:b/>
          <w:sz w:val="27"/>
          <w:szCs w:val="27"/>
        </w:rPr>
        <w:t xml:space="preserve">987, 7 </w:t>
      </w:r>
      <w:r w:rsidRPr="00854DEF">
        <w:rPr>
          <w:sz w:val="27"/>
          <w:szCs w:val="27"/>
        </w:rPr>
        <w:t xml:space="preserve">рублей. Исполнено (уплачено) административных штрафов должностными лицами  по постановлениям, принятым в 2016 году в сумме  </w:t>
      </w:r>
      <w:r w:rsidRPr="00854DEF">
        <w:rPr>
          <w:b/>
          <w:sz w:val="27"/>
          <w:szCs w:val="27"/>
        </w:rPr>
        <w:t xml:space="preserve">1 </w:t>
      </w:r>
      <w:proofErr w:type="gramStart"/>
      <w:r w:rsidRPr="00854DEF">
        <w:rPr>
          <w:b/>
          <w:sz w:val="27"/>
          <w:szCs w:val="27"/>
        </w:rPr>
        <w:t>млн</w:t>
      </w:r>
      <w:proofErr w:type="gramEnd"/>
      <w:r w:rsidRPr="00854DEF">
        <w:rPr>
          <w:b/>
          <w:sz w:val="27"/>
          <w:szCs w:val="27"/>
        </w:rPr>
        <w:t xml:space="preserve"> 444, 5</w:t>
      </w:r>
      <w:r w:rsidRPr="00854DEF">
        <w:rPr>
          <w:sz w:val="27"/>
          <w:szCs w:val="27"/>
        </w:rPr>
        <w:t xml:space="preserve"> рублей, в том числе по постановлениям прокуратур 852, 3 рублей. В судах общей юрисдикции отменено 3 постановления по малозначительности.</w:t>
      </w:r>
    </w:p>
    <w:p w:rsidR="00956A94" w:rsidRPr="00854DEF" w:rsidRDefault="00F4740F" w:rsidP="00CE4A20">
      <w:pPr>
        <w:ind w:firstLine="709"/>
        <w:jc w:val="both"/>
        <w:rPr>
          <w:sz w:val="27"/>
          <w:szCs w:val="27"/>
        </w:rPr>
      </w:pPr>
      <w:r w:rsidRPr="00854DEF">
        <w:rPr>
          <w:sz w:val="27"/>
          <w:szCs w:val="27"/>
        </w:rPr>
        <w:t>Кроме того, следует отметить, взаимодействие Тюменского УФАС России с органами прокуратуры Тюменской области по выявлению и пресечению нарушений законодательства о контрактной системе, привлечению виновных лиц к установленной законом ответственности. Формат такого взаимодействия достаточно широкий. Это и участие в совместных проверках заказчиков различного уровня, это и проведение межведомственных совещаний по вопросам противодействия правонарушениям в сфере закупок и  в сфере противодействия коррупции.</w:t>
      </w:r>
    </w:p>
    <w:p w:rsidR="00F4740F" w:rsidRPr="00854DEF" w:rsidRDefault="00F4740F" w:rsidP="00860EF7">
      <w:pPr>
        <w:jc w:val="both"/>
        <w:rPr>
          <w:sz w:val="27"/>
          <w:szCs w:val="27"/>
        </w:rPr>
      </w:pPr>
    </w:p>
    <w:p w:rsidR="00E949B8" w:rsidRPr="00854DEF" w:rsidRDefault="00956A94" w:rsidP="00956A94">
      <w:pPr>
        <w:widowControl w:val="0"/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854DEF">
        <w:rPr>
          <w:sz w:val="27"/>
          <w:szCs w:val="27"/>
        </w:rPr>
        <w:t xml:space="preserve">   Как показала практика реализации </w:t>
      </w:r>
      <w:r w:rsidR="00E949B8" w:rsidRPr="00854DEF">
        <w:rPr>
          <w:sz w:val="27"/>
          <w:szCs w:val="27"/>
        </w:rPr>
        <w:t>Закона о контрактной системе</w:t>
      </w:r>
      <w:r w:rsidRPr="00854DEF">
        <w:rPr>
          <w:rFonts w:eastAsia="Arial"/>
          <w:color w:val="000000"/>
          <w:spacing w:val="1"/>
          <w:sz w:val="27"/>
          <w:szCs w:val="27"/>
          <w:lang w:eastAsia="en-US" w:bidi="en-US"/>
        </w:rPr>
        <w:t xml:space="preserve"> как в 2016 году, так и в текущем году</w:t>
      </w:r>
      <w:r w:rsidR="00E949B8" w:rsidRPr="00854DEF">
        <w:rPr>
          <w:sz w:val="27"/>
          <w:szCs w:val="27"/>
        </w:rPr>
        <w:t>, типичные нарушения</w:t>
      </w:r>
      <w:r w:rsidRPr="00854DEF">
        <w:rPr>
          <w:sz w:val="27"/>
          <w:szCs w:val="27"/>
        </w:rPr>
        <w:t xml:space="preserve">, которые допускаются заказчиками (уполномоченными органами), </w:t>
      </w:r>
      <w:r w:rsidR="00E949B8" w:rsidRPr="00854DEF">
        <w:rPr>
          <w:sz w:val="27"/>
          <w:szCs w:val="27"/>
        </w:rPr>
        <w:t>можно условно классифицировать на три условные группы:</w:t>
      </w:r>
    </w:p>
    <w:p w:rsidR="00E949B8" w:rsidRPr="00854DEF" w:rsidRDefault="00E949B8" w:rsidP="00956A94">
      <w:pPr>
        <w:widowControl w:val="0"/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</w:p>
    <w:p w:rsidR="00956A94" w:rsidRPr="00854DEF" w:rsidRDefault="00E949B8" w:rsidP="00956A94">
      <w:pPr>
        <w:widowControl w:val="0"/>
        <w:autoSpaceDE w:val="0"/>
        <w:autoSpaceDN w:val="0"/>
        <w:adjustRightInd w:val="0"/>
        <w:ind w:firstLine="539"/>
        <w:jc w:val="both"/>
        <w:rPr>
          <w:sz w:val="27"/>
          <w:szCs w:val="27"/>
          <w:u w:val="single"/>
        </w:rPr>
      </w:pPr>
      <w:r w:rsidRPr="00854DEF">
        <w:rPr>
          <w:sz w:val="27"/>
          <w:szCs w:val="27"/>
        </w:rPr>
        <w:t>1.</w:t>
      </w:r>
      <w:r w:rsidR="00956A94" w:rsidRPr="00854DEF">
        <w:rPr>
          <w:sz w:val="27"/>
          <w:szCs w:val="27"/>
          <w:u w:val="single"/>
        </w:rPr>
        <w:t>Нарушения, которые допускаются  на этапе формирования (составления документации о закупке).</w:t>
      </w:r>
    </w:p>
    <w:p w:rsidR="00956A94" w:rsidRPr="00854DEF" w:rsidRDefault="00956A94" w:rsidP="00956A94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</w:p>
    <w:p w:rsidR="00E949B8" w:rsidRPr="00854DEF" w:rsidRDefault="00956A94" w:rsidP="00956A9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54DEF">
        <w:rPr>
          <w:sz w:val="27"/>
          <w:szCs w:val="27"/>
        </w:rPr>
        <w:t xml:space="preserve">          </w:t>
      </w:r>
      <w:r w:rsidRPr="00854DEF">
        <w:rPr>
          <w:sz w:val="27"/>
          <w:szCs w:val="27"/>
          <w:u w:val="single"/>
        </w:rPr>
        <w:t>В числе подобных нарушений закона можно назвать следующие факты</w:t>
      </w:r>
      <w:r w:rsidRPr="00854DEF">
        <w:rPr>
          <w:sz w:val="27"/>
          <w:szCs w:val="27"/>
        </w:rPr>
        <w:t>:</w:t>
      </w:r>
    </w:p>
    <w:p w:rsidR="00E949B8" w:rsidRPr="00854DEF" w:rsidRDefault="00E949B8" w:rsidP="00956A9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54DEF">
        <w:rPr>
          <w:sz w:val="27"/>
          <w:szCs w:val="27"/>
        </w:rPr>
        <w:t xml:space="preserve">      - установление условий контрактов с нарушением требований Закона;</w:t>
      </w:r>
    </w:p>
    <w:p w:rsidR="00035137" w:rsidRPr="00854DEF" w:rsidRDefault="00035137" w:rsidP="00956A9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54DEF">
        <w:rPr>
          <w:sz w:val="27"/>
          <w:szCs w:val="27"/>
        </w:rPr>
        <w:t xml:space="preserve">        - установление ненадлежащего порядка и критериев оценки заявок;</w:t>
      </w:r>
    </w:p>
    <w:p w:rsidR="00E949B8" w:rsidRPr="00854DEF" w:rsidRDefault="00E949B8" w:rsidP="00956A9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54DEF">
        <w:rPr>
          <w:sz w:val="27"/>
          <w:szCs w:val="27"/>
        </w:rPr>
        <w:lastRenderedPageBreak/>
        <w:t xml:space="preserve">      - не применение ограничений, запретов и условий, установленных подзаконными актами;</w:t>
      </w:r>
    </w:p>
    <w:p w:rsidR="00E949B8" w:rsidRPr="00854DEF" w:rsidRDefault="00E949B8" w:rsidP="00956A9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54DEF">
        <w:rPr>
          <w:sz w:val="27"/>
          <w:szCs w:val="27"/>
        </w:rPr>
        <w:t xml:space="preserve">      - объединение в один предмет закупки функционально не связанных товаров, работ и услуг</w:t>
      </w:r>
      <w:r w:rsidR="00035137" w:rsidRPr="00854DEF">
        <w:rPr>
          <w:sz w:val="27"/>
          <w:szCs w:val="27"/>
        </w:rPr>
        <w:t>;</w:t>
      </w:r>
    </w:p>
    <w:p w:rsidR="00E949B8" w:rsidRPr="00854DEF" w:rsidRDefault="00E949B8" w:rsidP="00956A9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54DEF">
        <w:rPr>
          <w:sz w:val="27"/>
          <w:szCs w:val="27"/>
        </w:rPr>
        <w:t xml:space="preserve">      - неверное (необъективное) описание объекта закупки,</w:t>
      </w:r>
      <w:r w:rsidR="00035137" w:rsidRPr="00854DEF">
        <w:rPr>
          <w:sz w:val="27"/>
          <w:szCs w:val="27"/>
        </w:rPr>
        <w:t xml:space="preserve"> в </w:t>
      </w:r>
      <w:proofErr w:type="spellStart"/>
      <w:r w:rsidR="00035137" w:rsidRPr="00854DEF">
        <w:rPr>
          <w:sz w:val="27"/>
          <w:szCs w:val="27"/>
        </w:rPr>
        <w:t>т.ч</w:t>
      </w:r>
      <w:proofErr w:type="spellEnd"/>
      <w:r w:rsidR="00035137" w:rsidRPr="00854DEF">
        <w:rPr>
          <w:sz w:val="27"/>
          <w:szCs w:val="27"/>
        </w:rPr>
        <w:t xml:space="preserve">. </w:t>
      </w:r>
      <w:r w:rsidRPr="00854DEF">
        <w:rPr>
          <w:sz w:val="27"/>
          <w:szCs w:val="27"/>
        </w:rPr>
        <w:t xml:space="preserve"> установление избыточных требований к работам</w:t>
      </w:r>
      <w:r w:rsidR="00035137" w:rsidRPr="00854DEF">
        <w:rPr>
          <w:sz w:val="27"/>
          <w:szCs w:val="27"/>
        </w:rPr>
        <w:t xml:space="preserve"> (услугам);</w:t>
      </w:r>
    </w:p>
    <w:p w:rsidR="00035137" w:rsidRPr="00854DEF" w:rsidRDefault="00035137" w:rsidP="0003513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54DEF">
        <w:rPr>
          <w:sz w:val="27"/>
          <w:szCs w:val="27"/>
        </w:rPr>
        <w:t xml:space="preserve">        -  отсутствие или запутанность инструкций по заполнению заявок;</w:t>
      </w:r>
    </w:p>
    <w:p w:rsidR="00035137" w:rsidRPr="00854DEF" w:rsidRDefault="00035137" w:rsidP="00956A9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2225A" w:rsidRDefault="00D2225A" w:rsidP="00D2225A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854DEF">
        <w:rPr>
          <w:sz w:val="27"/>
          <w:szCs w:val="27"/>
        </w:rPr>
        <w:t xml:space="preserve">В этой связи необходимо отметить, что основная проблема заказчиков заключается в </w:t>
      </w:r>
      <w:r w:rsidRPr="00854DEF">
        <w:rPr>
          <w:b/>
          <w:sz w:val="27"/>
          <w:szCs w:val="27"/>
        </w:rPr>
        <w:t>неэффективном анализе рынка закупаемых товаров</w:t>
      </w:r>
      <w:r w:rsidRPr="00854DEF">
        <w:rPr>
          <w:sz w:val="27"/>
          <w:szCs w:val="27"/>
        </w:rPr>
        <w:t xml:space="preserve"> (работ, услуг) либо в его отсутствии или </w:t>
      </w:r>
      <w:r w:rsidRPr="00854DEF">
        <w:rPr>
          <w:b/>
          <w:sz w:val="27"/>
          <w:szCs w:val="27"/>
        </w:rPr>
        <w:t>неграмотном описании технических характеристик и свойств</w:t>
      </w:r>
      <w:r w:rsidRPr="00854DEF">
        <w:rPr>
          <w:sz w:val="27"/>
          <w:szCs w:val="27"/>
        </w:rPr>
        <w:t xml:space="preserve"> необходимого к поставке товара (использовании товара при выполнении работ или оказания услуг), а также требований к его качеству. </w:t>
      </w:r>
    </w:p>
    <w:p w:rsidR="00854DEF" w:rsidRPr="00854DEF" w:rsidRDefault="00854DEF" w:rsidP="00D2225A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035137" w:rsidRPr="00854DEF" w:rsidRDefault="00035137" w:rsidP="00956A9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54DEF">
        <w:rPr>
          <w:sz w:val="27"/>
          <w:szCs w:val="27"/>
        </w:rPr>
        <w:t xml:space="preserve">          В данном контексте особо хотелось бы выделить нарушения, связанные с нарушением правил описания объекта закупки, установлением заказчиком избыточных (</w:t>
      </w:r>
      <w:proofErr w:type="spellStart"/>
      <w:r w:rsidRPr="00854DEF">
        <w:rPr>
          <w:sz w:val="27"/>
          <w:szCs w:val="27"/>
        </w:rPr>
        <w:t>неизмеряемых</w:t>
      </w:r>
      <w:proofErr w:type="spellEnd"/>
      <w:r w:rsidRPr="00854DEF">
        <w:rPr>
          <w:sz w:val="27"/>
          <w:szCs w:val="27"/>
        </w:rPr>
        <w:t>) требований к работам (услугам).</w:t>
      </w:r>
    </w:p>
    <w:p w:rsidR="00035137" w:rsidRPr="00854DEF" w:rsidRDefault="00854DEF" w:rsidP="00035137">
      <w:pPr>
        <w:widowControl w:val="0"/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035137" w:rsidRPr="00854DEF">
        <w:rPr>
          <w:sz w:val="27"/>
          <w:szCs w:val="27"/>
        </w:rPr>
        <w:t xml:space="preserve">Так,  законодательство о контрактной системе определяет,  что документация о закупке (статья 33 Закона о контрактной системе) должна содержать показатели,  позволяющие определить соответствие закупаемых товаров,  работ,  услуг установленным заказчиком требованиям.  Помимо этого,  Законом определено,  что описание объекта закупки </w:t>
      </w:r>
      <w:r w:rsidR="00035137" w:rsidRPr="00854DEF">
        <w:rPr>
          <w:sz w:val="27"/>
          <w:szCs w:val="27"/>
          <w:u w:val="single"/>
        </w:rPr>
        <w:t>должно носить объективный характер</w:t>
      </w:r>
      <w:r w:rsidR="00035137" w:rsidRPr="00854DEF">
        <w:rPr>
          <w:sz w:val="27"/>
          <w:szCs w:val="27"/>
        </w:rPr>
        <w:t>.</w:t>
      </w:r>
    </w:p>
    <w:p w:rsidR="00035137" w:rsidRPr="00854DEF" w:rsidRDefault="00035137" w:rsidP="00035137">
      <w:pPr>
        <w:widowControl w:val="0"/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854DEF">
        <w:rPr>
          <w:sz w:val="27"/>
          <w:szCs w:val="27"/>
        </w:rPr>
        <w:t xml:space="preserve">  Именно соблюдение указанных положений Закона о контрактной системе позволяет заказчику приобрести действительно  необходимую ему продукцию или качественные услуги,  а участнику закупки поучаствовать в конкурентной процедуре,  предложив  требуемый  заказчику товар (услуг) по справедливой цене.</w:t>
      </w:r>
    </w:p>
    <w:p w:rsidR="00035137" w:rsidRPr="00854DEF" w:rsidRDefault="00035137" w:rsidP="0003513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54DEF">
        <w:rPr>
          <w:sz w:val="27"/>
          <w:szCs w:val="27"/>
        </w:rPr>
        <w:t xml:space="preserve">         Не секрет,  что в настоящее время многие «слетают» с торгов  только потому,  что неправильно заполнили свои заявки,  хотя могли бы  предложить выгодные для заказчика ценовые и неценовые условия исполнения контракта. Ведь,  как известно,  участник закупки обязан в своей заявке указать конкретные показатели характеристик предлагаемого товара или используемого в ходе выполнения работ материала.</w:t>
      </w:r>
    </w:p>
    <w:p w:rsidR="00035137" w:rsidRPr="00854DEF" w:rsidRDefault="00035137" w:rsidP="00CC543D">
      <w:pPr>
        <w:ind w:right="-1" w:firstLine="709"/>
        <w:jc w:val="both"/>
        <w:rPr>
          <w:rFonts w:eastAsia="Cambria"/>
          <w:sz w:val="27"/>
          <w:szCs w:val="27"/>
          <w:lang w:eastAsia="en-US"/>
        </w:rPr>
      </w:pPr>
      <w:r w:rsidRPr="00854DEF">
        <w:rPr>
          <w:rFonts w:eastAsia="Cambria"/>
          <w:sz w:val="27"/>
          <w:szCs w:val="27"/>
          <w:lang w:eastAsia="en-US"/>
        </w:rPr>
        <w:t>При этом</w:t>
      </w:r>
      <w:proofErr w:type="gramStart"/>
      <w:r w:rsidRPr="00854DEF">
        <w:rPr>
          <w:rFonts w:eastAsia="Cambria"/>
          <w:sz w:val="27"/>
          <w:szCs w:val="27"/>
          <w:lang w:eastAsia="en-US"/>
        </w:rPr>
        <w:t>,</w:t>
      </w:r>
      <w:proofErr w:type="gramEnd"/>
      <w:r w:rsidRPr="00854DEF">
        <w:rPr>
          <w:rFonts w:eastAsia="Cambria"/>
          <w:sz w:val="27"/>
          <w:szCs w:val="27"/>
          <w:lang w:eastAsia="en-US"/>
        </w:rPr>
        <w:t xml:space="preserve"> при рассмотрении жалоб и проведении внеплановых проверок антимонопольным органом зачастую выявляются нарушения в действиях заказчиков, связанные с установлением в документации о закупке при проведении электронных аукционов  требований к описанию участниками закупок в составе своих заявок, помимо конкретных показателей товаров, </w:t>
      </w:r>
      <w:r w:rsidR="00CC543D" w:rsidRPr="00854DEF">
        <w:rPr>
          <w:rFonts w:eastAsia="Cambria"/>
          <w:sz w:val="27"/>
          <w:szCs w:val="27"/>
          <w:lang w:eastAsia="en-US"/>
        </w:rPr>
        <w:t>конкретные показатели технологических процессов изготовления указанных товаров, результатов испытаний, химического состава товаров.</w:t>
      </w:r>
    </w:p>
    <w:p w:rsidR="00035137" w:rsidRPr="00854DEF" w:rsidRDefault="00CC543D" w:rsidP="00CC543D">
      <w:pPr>
        <w:pStyle w:val="ConsPlusNormal"/>
        <w:ind w:firstLine="540"/>
        <w:jc w:val="both"/>
        <w:rPr>
          <w:rFonts w:ascii="Times New Roman" w:eastAsia="Cambria" w:hAnsi="Times New Roman" w:cs="Times New Roman"/>
          <w:sz w:val="27"/>
          <w:szCs w:val="27"/>
          <w:lang w:eastAsia="en-US"/>
        </w:rPr>
      </w:pPr>
      <w:proofErr w:type="gramStart"/>
      <w:r w:rsidRPr="00854DEF">
        <w:rPr>
          <w:rFonts w:ascii="Times New Roman" w:hAnsi="Times New Roman" w:cs="Times New Roman"/>
          <w:sz w:val="27"/>
          <w:szCs w:val="27"/>
        </w:rPr>
        <w:t xml:space="preserve">При этом, </w:t>
      </w:r>
      <w:hyperlink r:id="rId6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4.07.2015)------------ Недействующая редакция{Консу" w:history="1">
        <w:r w:rsidR="00035137" w:rsidRPr="00854DEF">
          <w:rPr>
            <w:rFonts w:ascii="Times New Roman" w:hAnsi="Times New Roman" w:cs="Times New Roman"/>
            <w:color w:val="0000FF"/>
            <w:sz w:val="27"/>
            <w:szCs w:val="27"/>
          </w:rPr>
          <w:t>Закон</w:t>
        </w:r>
      </w:hyperlink>
      <w:r w:rsidR="00035137" w:rsidRPr="00854DEF">
        <w:rPr>
          <w:rFonts w:ascii="Times New Roman" w:hAnsi="Times New Roman" w:cs="Times New Roman"/>
          <w:sz w:val="27"/>
          <w:szCs w:val="27"/>
        </w:rPr>
        <w:t xml:space="preserve"> о контрактной системе не обязывает участника закупки иметь в наличии товар, подлежащий описанию в соответствии с требованиями документации, вышеприведенные примеры подробного изложения в документации </w:t>
      </w:r>
      <w:r w:rsidRPr="00854DEF">
        <w:rPr>
          <w:rFonts w:ascii="Times New Roman" w:hAnsi="Times New Roman" w:cs="Times New Roman"/>
          <w:sz w:val="27"/>
          <w:szCs w:val="27"/>
        </w:rPr>
        <w:t xml:space="preserve"> о закупке </w:t>
      </w:r>
      <w:r w:rsidR="00035137" w:rsidRPr="00854DEF">
        <w:rPr>
          <w:rFonts w:ascii="Times New Roman" w:hAnsi="Times New Roman" w:cs="Times New Roman"/>
          <w:sz w:val="27"/>
          <w:szCs w:val="27"/>
        </w:rPr>
        <w:t xml:space="preserve">требований к описанию участниками закупок товаров, используемых при оказании услуг, веществ и компонентов, из которых они </w:t>
      </w:r>
      <w:r w:rsidR="00035137" w:rsidRPr="00854DEF">
        <w:rPr>
          <w:rFonts w:ascii="Times New Roman" w:hAnsi="Times New Roman" w:cs="Times New Roman"/>
          <w:sz w:val="27"/>
          <w:szCs w:val="27"/>
        </w:rPr>
        <w:lastRenderedPageBreak/>
        <w:t xml:space="preserve">состоят, ограничивают </w:t>
      </w:r>
      <w:r w:rsidR="00035137" w:rsidRPr="00854DEF">
        <w:rPr>
          <w:rFonts w:ascii="Times New Roman" w:eastAsia="Cambria" w:hAnsi="Times New Roman" w:cs="Times New Roman"/>
          <w:sz w:val="27"/>
          <w:szCs w:val="27"/>
          <w:lang w:eastAsia="en-US"/>
        </w:rPr>
        <w:t>количество участников закупки, создают дополнительные барьеры для участия в закупке, а также влекут</w:t>
      </w:r>
      <w:proofErr w:type="gramEnd"/>
      <w:r w:rsidR="00035137" w:rsidRPr="00854DEF">
        <w:rPr>
          <w:rFonts w:ascii="Times New Roman" w:eastAsia="Cambria" w:hAnsi="Times New Roman" w:cs="Times New Roman"/>
          <w:sz w:val="27"/>
          <w:szCs w:val="27"/>
          <w:lang w:eastAsia="en-US"/>
        </w:rPr>
        <w:t xml:space="preserve"> формальные отклонения заявок.</w:t>
      </w:r>
    </w:p>
    <w:p w:rsidR="00CB760A" w:rsidRPr="00854DEF" w:rsidRDefault="00CB760A" w:rsidP="00956A9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B760A" w:rsidRPr="00854DEF" w:rsidRDefault="00CB760A" w:rsidP="00CB760A">
      <w:pPr>
        <w:jc w:val="both"/>
        <w:rPr>
          <w:sz w:val="27"/>
          <w:szCs w:val="27"/>
        </w:rPr>
      </w:pPr>
      <w:r w:rsidRPr="00854DEF">
        <w:rPr>
          <w:sz w:val="27"/>
          <w:szCs w:val="27"/>
        </w:rPr>
        <w:t xml:space="preserve">           В то же время, Тюменское УФАС России считает возможным отметить и положительные аспекты в деятельности государственных заказчиков тюменского региона при осуществлении закупок в рамках Закона о контрактной системе. В частности следует отметить позитивный опыт </w:t>
      </w:r>
      <w:r w:rsidRPr="00854DEF">
        <w:rPr>
          <w:b/>
          <w:sz w:val="27"/>
          <w:szCs w:val="27"/>
        </w:rPr>
        <w:t>Управления государственных закупок Тюменской области</w:t>
      </w:r>
      <w:r w:rsidRPr="00854DEF">
        <w:rPr>
          <w:sz w:val="27"/>
          <w:szCs w:val="27"/>
        </w:rPr>
        <w:t xml:space="preserve">. </w:t>
      </w:r>
    </w:p>
    <w:p w:rsidR="00CB760A" w:rsidRPr="00854DEF" w:rsidRDefault="00CB760A" w:rsidP="00CB760A">
      <w:pPr>
        <w:jc w:val="both"/>
        <w:rPr>
          <w:sz w:val="27"/>
          <w:szCs w:val="27"/>
        </w:rPr>
      </w:pPr>
      <w:r w:rsidRPr="00854DEF">
        <w:rPr>
          <w:sz w:val="27"/>
          <w:szCs w:val="27"/>
        </w:rPr>
        <w:t xml:space="preserve">         Так, Управлением государственных закупок Тюменской области разработана </w:t>
      </w:r>
      <w:r w:rsidRPr="00854DEF">
        <w:rPr>
          <w:b/>
          <w:sz w:val="27"/>
          <w:szCs w:val="27"/>
        </w:rPr>
        <w:t>типовая инструкция</w:t>
      </w:r>
      <w:r w:rsidRPr="00854DEF">
        <w:rPr>
          <w:sz w:val="27"/>
          <w:szCs w:val="27"/>
        </w:rPr>
        <w:t xml:space="preserve"> по заполнению заявки на участие в электронном аукционе, которая содержательно и наглядно определяет порядок указания участником закупки требуемых показателей.</w:t>
      </w:r>
    </w:p>
    <w:p w:rsidR="00CB760A" w:rsidRPr="00854DEF" w:rsidRDefault="00CB760A" w:rsidP="00CB760A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 w:rsidRPr="00854DEF">
        <w:rPr>
          <w:bCs/>
          <w:sz w:val="27"/>
          <w:szCs w:val="27"/>
        </w:rPr>
        <w:t xml:space="preserve"> Согласно данной инструкции при предоставлении участниками закупок сведений по показателям характеристик, установленных в описании объекта закупки, следует руководствоваться правилами, указанными в соответствующей таблице, состоящей из трех столбцов, определяющих виды показателей объекта закупки: минимальные и (или) максимальные показатели; показатели, которые не изменяются; показатели, указанные в диапазоне. Согласно третьему столбцу приведенной таблицы предусматривается два варианта формулирования заказчиком значений показателя в диапазоне. </w:t>
      </w:r>
    </w:p>
    <w:p w:rsidR="00CB760A" w:rsidRPr="00854DEF" w:rsidRDefault="00CB760A" w:rsidP="00CB760A">
      <w:pPr>
        <w:jc w:val="both"/>
        <w:rPr>
          <w:sz w:val="27"/>
          <w:szCs w:val="27"/>
        </w:rPr>
      </w:pPr>
      <w:r w:rsidRPr="00854DEF">
        <w:rPr>
          <w:sz w:val="27"/>
          <w:szCs w:val="27"/>
        </w:rPr>
        <w:t xml:space="preserve">          По мнению Тюменского  УФАС России данный вариант инструкции по заполнению заявки представляется наиболее удобной и понятной для участников закупок при заполнении своих заявок, минимизирует  возникновение у участников закупок ошибок технического характера при заполнении и формировании своих заявок.</w:t>
      </w:r>
    </w:p>
    <w:p w:rsidR="00CB760A" w:rsidRPr="00854DEF" w:rsidRDefault="00CB760A" w:rsidP="00CB760A">
      <w:pPr>
        <w:jc w:val="both"/>
        <w:rPr>
          <w:sz w:val="16"/>
          <w:szCs w:val="16"/>
        </w:rPr>
      </w:pPr>
    </w:p>
    <w:p w:rsidR="00956A94" w:rsidRPr="00854DEF" w:rsidRDefault="00956A94" w:rsidP="00956A94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854DEF">
        <w:rPr>
          <w:sz w:val="27"/>
          <w:szCs w:val="27"/>
        </w:rPr>
        <w:t xml:space="preserve">  </w:t>
      </w:r>
      <w:r w:rsidRPr="00854DEF">
        <w:rPr>
          <w:sz w:val="27"/>
          <w:szCs w:val="27"/>
          <w:u w:val="single"/>
        </w:rPr>
        <w:t xml:space="preserve">Нарушения, которые допускаются на этапе  обора участников  (рассмотрения заявок), как </w:t>
      </w:r>
      <w:proofErr w:type="gramStart"/>
      <w:r w:rsidRPr="00854DEF">
        <w:rPr>
          <w:sz w:val="27"/>
          <w:szCs w:val="27"/>
          <w:u w:val="single"/>
        </w:rPr>
        <w:t>правило</w:t>
      </w:r>
      <w:proofErr w:type="gramEnd"/>
      <w:r w:rsidRPr="00854DEF">
        <w:rPr>
          <w:sz w:val="27"/>
          <w:szCs w:val="27"/>
          <w:u w:val="single"/>
        </w:rPr>
        <w:t xml:space="preserve"> выражаются в следующих действиях</w:t>
      </w:r>
      <w:r w:rsidRPr="00854DEF">
        <w:rPr>
          <w:sz w:val="27"/>
          <w:szCs w:val="27"/>
        </w:rPr>
        <w:t>:</w:t>
      </w:r>
    </w:p>
    <w:p w:rsidR="00956A94" w:rsidRPr="00854DEF" w:rsidRDefault="00956A94" w:rsidP="00956A94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956A94" w:rsidRPr="00854DEF" w:rsidRDefault="00956A94" w:rsidP="00956A9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854DEF">
        <w:rPr>
          <w:sz w:val="27"/>
          <w:szCs w:val="27"/>
        </w:rPr>
        <w:t xml:space="preserve">       - необоснованный допуск к участию в закупке или, напротив, необоснованное отклонение заявки на участие в торгах при рассмотрении заявок участников закупки, в т. ч. по основаниям, не предусмотренным действующим законодательством;</w:t>
      </w:r>
    </w:p>
    <w:p w:rsidR="00956A94" w:rsidRPr="00854DEF" w:rsidRDefault="00956A94" w:rsidP="00956A94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854DEF">
        <w:rPr>
          <w:sz w:val="27"/>
          <w:szCs w:val="27"/>
        </w:rPr>
        <w:t xml:space="preserve"> </w:t>
      </w:r>
    </w:p>
    <w:p w:rsidR="00D2225A" w:rsidRPr="00854DEF" w:rsidRDefault="00CB760A" w:rsidP="00D2225A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 w:rsidRPr="00854DEF">
        <w:rPr>
          <w:i/>
          <w:sz w:val="27"/>
          <w:szCs w:val="27"/>
        </w:rPr>
        <w:t xml:space="preserve">        </w:t>
      </w:r>
      <w:r w:rsidR="00CE4A20" w:rsidRPr="00854DEF">
        <w:rPr>
          <w:i/>
          <w:sz w:val="27"/>
          <w:szCs w:val="27"/>
        </w:rPr>
        <w:t xml:space="preserve"> </w:t>
      </w:r>
      <w:r w:rsidRPr="00854DEF">
        <w:rPr>
          <w:i/>
          <w:sz w:val="27"/>
          <w:szCs w:val="27"/>
        </w:rPr>
        <w:t xml:space="preserve">Наиболее интересным и прецедентным следует признать </w:t>
      </w:r>
      <w:r w:rsidR="00D2225A" w:rsidRPr="00854DEF">
        <w:rPr>
          <w:i/>
          <w:sz w:val="27"/>
          <w:szCs w:val="27"/>
        </w:rPr>
        <w:t>дело, рассмотренное комиссией Тюменского УФАС России в отношении одного из государственных заказчиков Тюменской области и его конкурсной комиссии при проведении открытого конкурса на оказание страховых услуг.</w:t>
      </w:r>
    </w:p>
    <w:p w:rsidR="00D2225A" w:rsidRPr="00854DEF" w:rsidRDefault="00D2225A" w:rsidP="00D2225A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 w:rsidRPr="00854DEF">
        <w:rPr>
          <w:i/>
          <w:sz w:val="27"/>
          <w:szCs w:val="27"/>
        </w:rPr>
        <w:t xml:space="preserve">      </w:t>
      </w:r>
      <w:r w:rsidR="00CE4A20" w:rsidRPr="00854DEF">
        <w:rPr>
          <w:i/>
          <w:sz w:val="27"/>
          <w:szCs w:val="27"/>
        </w:rPr>
        <w:t xml:space="preserve">  </w:t>
      </w:r>
      <w:r w:rsidRPr="00854DEF">
        <w:rPr>
          <w:i/>
          <w:sz w:val="27"/>
          <w:szCs w:val="27"/>
          <w:shd w:val="clear" w:color="auto" w:fill="FFFFFF"/>
        </w:rPr>
        <w:t xml:space="preserve">Антимонопольным органом было установлено, что конкурсной комиссией </w:t>
      </w:r>
      <w:r w:rsidRPr="00854DEF">
        <w:rPr>
          <w:i/>
          <w:sz w:val="27"/>
          <w:szCs w:val="27"/>
        </w:rPr>
        <w:t xml:space="preserve">был нарушен порядок оценки заявок участников названного конкурса, поскольку победителем была признана страховая компания, подавшая заявку первой, однако в последующем внесла в нее изменения (в части дополнения ее документами, отсутствовавшими изначально). </w:t>
      </w:r>
    </w:p>
    <w:p w:rsidR="00045A12" w:rsidRPr="00854DEF" w:rsidRDefault="00D2225A" w:rsidP="00854DEF">
      <w:pPr>
        <w:contextualSpacing/>
        <w:jc w:val="both"/>
        <w:rPr>
          <w:rFonts w:eastAsia="Cambria"/>
          <w:i/>
          <w:sz w:val="27"/>
          <w:szCs w:val="27"/>
          <w:lang w:eastAsia="en-US"/>
        </w:rPr>
      </w:pPr>
      <w:r w:rsidRPr="00854DEF">
        <w:rPr>
          <w:i/>
          <w:sz w:val="27"/>
          <w:szCs w:val="27"/>
        </w:rPr>
        <w:t xml:space="preserve">            В последующем решение  по данному делу было обжаловано в судебном порядке. Однако</w:t>
      </w:r>
      <w:proofErr w:type="gramStart"/>
      <w:r w:rsidRPr="00854DEF">
        <w:rPr>
          <w:i/>
          <w:sz w:val="27"/>
          <w:szCs w:val="27"/>
        </w:rPr>
        <w:t>,</w:t>
      </w:r>
      <w:proofErr w:type="gramEnd"/>
      <w:r w:rsidRPr="00854DEF">
        <w:rPr>
          <w:i/>
          <w:sz w:val="27"/>
          <w:szCs w:val="27"/>
        </w:rPr>
        <w:t xml:space="preserve"> судами всех трех инстанций была поддержана позиция Тюменского УФАС России о том, что датой подачи заявки на участие в конкурсе следует считать именно дату подачи последних изменений в заявку (</w:t>
      </w:r>
      <w:r w:rsidRPr="00854DEF">
        <w:rPr>
          <w:b/>
          <w:i/>
          <w:sz w:val="27"/>
          <w:szCs w:val="27"/>
        </w:rPr>
        <w:t xml:space="preserve">дело </w:t>
      </w:r>
      <w:r w:rsidRPr="00854DEF">
        <w:rPr>
          <w:b/>
          <w:i/>
          <w:sz w:val="27"/>
          <w:szCs w:val="27"/>
          <w:lang w:eastAsia="en-US"/>
        </w:rPr>
        <w:t xml:space="preserve">№ </w:t>
      </w:r>
      <w:r w:rsidRPr="00854DEF">
        <w:rPr>
          <w:b/>
          <w:i/>
          <w:sz w:val="27"/>
          <w:szCs w:val="27"/>
        </w:rPr>
        <w:t>А70-903/2016)</w:t>
      </w:r>
    </w:p>
    <w:p w:rsidR="00854DEF" w:rsidRDefault="00956A94" w:rsidP="00956A9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854DEF">
        <w:rPr>
          <w:sz w:val="27"/>
          <w:szCs w:val="27"/>
        </w:rPr>
        <w:lastRenderedPageBreak/>
        <w:t xml:space="preserve">          - несвоевременное размещение информации, подлежащей опубликованию, и (или) ее несвоевременное направление оператору электронной площадки </w:t>
      </w:r>
      <w:proofErr w:type="gramStart"/>
      <w:r w:rsidRPr="00854DEF">
        <w:rPr>
          <w:sz w:val="27"/>
          <w:szCs w:val="27"/>
        </w:rPr>
        <w:t xml:space="preserve">( </w:t>
      </w:r>
      <w:proofErr w:type="gramEnd"/>
      <w:r w:rsidRPr="00854DEF">
        <w:rPr>
          <w:sz w:val="27"/>
          <w:szCs w:val="27"/>
        </w:rPr>
        <w:t xml:space="preserve">при проведении электронных аукционов). </w:t>
      </w:r>
    </w:p>
    <w:p w:rsidR="00956A94" w:rsidRPr="00854DEF" w:rsidRDefault="00854DEF" w:rsidP="00956A9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956A94" w:rsidRPr="00854DEF">
        <w:rPr>
          <w:sz w:val="27"/>
          <w:szCs w:val="27"/>
        </w:rPr>
        <w:t>Проблема несвоевременного размещения информации зачастую связана с прекращением действия электронной цифровой подписи лица, уполномоченного действовать от имени заказчика, сбоями в работе сети, что, однако, такие случаи не снимают с него обязанности по совершению действий, установленных Законом о контрактной системе.</w:t>
      </w:r>
    </w:p>
    <w:p w:rsidR="00956A94" w:rsidRPr="00854DEF" w:rsidRDefault="00956A94" w:rsidP="00956A9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56A94" w:rsidRPr="00854DEF" w:rsidRDefault="00956A94" w:rsidP="00956A9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854DEF">
        <w:rPr>
          <w:sz w:val="27"/>
          <w:szCs w:val="27"/>
        </w:rPr>
        <w:t xml:space="preserve">      - </w:t>
      </w:r>
      <w:proofErr w:type="spellStart"/>
      <w:r w:rsidRPr="00854DEF">
        <w:rPr>
          <w:sz w:val="27"/>
          <w:szCs w:val="27"/>
        </w:rPr>
        <w:t>невключение</w:t>
      </w:r>
      <w:proofErr w:type="spellEnd"/>
      <w:r w:rsidRPr="00854DEF">
        <w:rPr>
          <w:sz w:val="27"/>
          <w:szCs w:val="27"/>
        </w:rPr>
        <w:t xml:space="preserve"> в протоколы комиссии заказчика (уполномоченного органа) предусмотренных Законом о  контрактной системе сведений и информации (например, в протоколах рассмотрения заявок на участие в  закупке не указывают конкретные положения заявки, не соответствующие конкретным положениям закупочной документации, зачастую отсутствует обоснование принятого комиссией решения).  Как правило, это нарушение становится следствием невнимательного отношения к установленному Законом о контрактной системе порядку составления таких документов. </w:t>
      </w:r>
    </w:p>
    <w:p w:rsidR="00CE4A20" w:rsidRPr="00854DEF" w:rsidRDefault="00CE4A20" w:rsidP="00956A9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E4A20" w:rsidRPr="00854DEF" w:rsidRDefault="00CE4A20" w:rsidP="00CE4A2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854DEF">
        <w:rPr>
          <w:sz w:val="27"/>
          <w:szCs w:val="27"/>
        </w:rPr>
        <w:t xml:space="preserve">         В этой связи хотелось бы сказать, что </w:t>
      </w:r>
      <w:r w:rsidRPr="00854DEF">
        <w:rPr>
          <w:sz w:val="27"/>
          <w:szCs w:val="27"/>
          <w:lang w:eastAsia="en-US"/>
        </w:rPr>
        <w:t xml:space="preserve">ответственность должностного лица </w:t>
      </w:r>
      <w:proofErr w:type="gramStart"/>
      <w:r w:rsidRPr="00854DEF">
        <w:rPr>
          <w:sz w:val="27"/>
          <w:szCs w:val="27"/>
          <w:lang w:eastAsia="en-US"/>
        </w:rPr>
        <w:t xml:space="preserve">( </w:t>
      </w:r>
      <w:proofErr w:type="gramEnd"/>
      <w:r w:rsidRPr="00854DEF">
        <w:rPr>
          <w:sz w:val="27"/>
          <w:szCs w:val="27"/>
          <w:lang w:eastAsia="en-US"/>
        </w:rPr>
        <w:t xml:space="preserve">в данном случае члена комиссии) за неправомерный отказ в допуске к участию в аукционе предусмотрена </w:t>
      </w:r>
      <w:hyperlink r:id="rId7" w:history="1">
        <w:r w:rsidRPr="00854DEF">
          <w:rPr>
            <w:color w:val="0000FF"/>
            <w:sz w:val="27"/>
            <w:szCs w:val="27"/>
            <w:lang w:eastAsia="en-US"/>
          </w:rPr>
          <w:t>ч. 2 ст. 7.30</w:t>
        </w:r>
      </w:hyperlink>
      <w:r w:rsidRPr="00854DEF">
        <w:rPr>
          <w:sz w:val="27"/>
          <w:szCs w:val="27"/>
          <w:lang w:eastAsia="en-US"/>
        </w:rPr>
        <w:t xml:space="preserve"> КоАП РФ и влечет за собой административный штраф в размере 1% начальной (максимальной) цены контр</w:t>
      </w:r>
      <w:r w:rsidR="0075638C">
        <w:rPr>
          <w:sz w:val="27"/>
          <w:szCs w:val="27"/>
          <w:lang w:eastAsia="en-US"/>
        </w:rPr>
        <w:t>акта но не менее 5 тыс. рублей</w:t>
      </w:r>
      <w:r w:rsidRPr="00854DEF">
        <w:rPr>
          <w:sz w:val="27"/>
          <w:szCs w:val="27"/>
          <w:lang w:eastAsia="en-US"/>
        </w:rPr>
        <w:t>. При этом к административной ответственности привлекаются все члены закупочной комиссии заказчика, проголосовавшие за принятие незаконного решения.</w:t>
      </w:r>
    </w:p>
    <w:p w:rsidR="00CE4A20" w:rsidRPr="00854DEF" w:rsidRDefault="00CE4A20" w:rsidP="00860EF7">
      <w:pPr>
        <w:jc w:val="both"/>
        <w:rPr>
          <w:sz w:val="27"/>
          <w:szCs w:val="27"/>
        </w:rPr>
      </w:pPr>
    </w:p>
    <w:p w:rsidR="0083468A" w:rsidRPr="00854DEF" w:rsidRDefault="0083468A" w:rsidP="0083468A">
      <w:pPr>
        <w:ind w:firstLine="708"/>
        <w:jc w:val="both"/>
        <w:rPr>
          <w:rFonts w:eastAsia="Cambria"/>
          <w:b/>
          <w:i/>
          <w:sz w:val="27"/>
          <w:szCs w:val="27"/>
          <w:lang w:eastAsia="en-US"/>
        </w:rPr>
      </w:pPr>
      <w:r w:rsidRPr="00854DEF">
        <w:rPr>
          <w:rFonts w:eastAsia="Cambria"/>
          <w:b/>
          <w:i/>
          <w:sz w:val="27"/>
          <w:szCs w:val="27"/>
          <w:lang w:eastAsia="en-US"/>
        </w:rPr>
        <w:t>Ведение реестра недобросовестных поставщиков</w:t>
      </w:r>
    </w:p>
    <w:p w:rsidR="0083468A" w:rsidRPr="00854DEF" w:rsidRDefault="0083468A" w:rsidP="0083468A">
      <w:pPr>
        <w:ind w:firstLine="709"/>
        <w:contextualSpacing/>
        <w:jc w:val="both"/>
        <w:rPr>
          <w:rFonts w:eastAsia="Cambria"/>
          <w:sz w:val="27"/>
          <w:szCs w:val="27"/>
          <w:lang w:eastAsia="en-US"/>
        </w:rPr>
      </w:pPr>
      <w:r w:rsidRPr="00854DEF">
        <w:rPr>
          <w:rFonts w:eastAsia="Cambria"/>
          <w:sz w:val="27"/>
          <w:szCs w:val="27"/>
          <w:lang w:eastAsia="en-US"/>
        </w:rPr>
        <w:t>ФАС России осуществляется ведение реестра недобросовестных поставщиков, в соответствии с постановлением Правительства Российской Федерации от 25.11.2013 № 1062 «О порядке ведения реестра недобросовестных поставщиков (подрядчиков, исполнителей)».</w:t>
      </w:r>
    </w:p>
    <w:p w:rsidR="0083468A" w:rsidRPr="00854DEF" w:rsidRDefault="0083468A" w:rsidP="0083468A">
      <w:pPr>
        <w:ind w:firstLine="709"/>
        <w:contextualSpacing/>
        <w:jc w:val="both"/>
        <w:rPr>
          <w:rFonts w:eastAsia="Cambria"/>
          <w:sz w:val="27"/>
          <w:szCs w:val="27"/>
          <w:lang w:eastAsia="en-US"/>
        </w:rPr>
      </w:pPr>
      <w:r w:rsidRPr="00854DEF">
        <w:rPr>
          <w:rFonts w:eastAsia="Cambria"/>
          <w:sz w:val="27"/>
          <w:szCs w:val="27"/>
          <w:lang w:eastAsia="en-US"/>
        </w:rPr>
        <w:t xml:space="preserve">В 2016 году </w:t>
      </w:r>
      <w:proofErr w:type="gramStart"/>
      <w:r w:rsidRPr="00854DEF">
        <w:rPr>
          <w:rFonts w:eastAsia="Cambria"/>
          <w:sz w:val="27"/>
          <w:szCs w:val="27"/>
          <w:lang w:eastAsia="en-US"/>
        </w:rPr>
        <w:t>Тюменским</w:t>
      </w:r>
      <w:proofErr w:type="gramEnd"/>
      <w:r w:rsidRPr="00854DEF">
        <w:rPr>
          <w:rFonts w:eastAsia="Cambria"/>
          <w:sz w:val="27"/>
          <w:szCs w:val="27"/>
          <w:lang w:eastAsia="en-US"/>
        </w:rPr>
        <w:t xml:space="preserve"> УФАС России, рассмотрено </w:t>
      </w:r>
      <w:r w:rsidRPr="00854DEF">
        <w:rPr>
          <w:rFonts w:eastAsia="Cambria"/>
          <w:b/>
          <w:sz w:val="27"/>
          <w:szCs w:val="27"/>
          <w:lang w:eastAsia="en-US"/>
        </w:rPr>
        <w:t xml:space="preserve">122 </w:t>
      </w:r>
      <w:r w:rsidR="0075638C">
        <w:rPr>
          <w:rFonts w:eastAsia="Cambria"/>
          <w:sz w:val="27"/>
          <w:szCs w:val="27"/>
          <w:lang w:eastAsia="en-US"/>
        </w:rPr>
        <w:t>обращения</w:t>
      </w:r>
      <w:r w:rsidRPr="00854DEF">
        <w:rPr>
          <w:rFonts w:eastAsia="Cambria"/>
          <w:sz w:val="27"/>
          <w:szCs w:val="27"/>
          <w:lang w:eastAsia="en-US"/>
        </w:rPr>
        <w:t xml:space="preserve"> о включении сведений об участниках закупок в реестр недобросовестных поставщиков. По итогам рассмотрения указанных обращений в реестр недобросовестных поставщиков включены сведения о </w:t>
      </w:r>
      <w:r w:rsidRPr="00854DEF">
        <w:rPr>
          <w:rFonts w:eastAsia="Cambria"/>
          <w:b/>
          <w:sz w:val="27"/>
          <w:szCs w:val="27"/>
          <w:lang w:eastAsia="en-US"/>
        </w:rPr>
        <w:t>64</w:t>
      </w:r>
      <w:r w:rsidRPr="00854DEF">
        <w:rPr>
          <w:rFonts w:eastAsia="Cambria"/>
          <w:sz w:val="27"/>
          <w:szCs w:val="27"/>
          <w:lang w:eastAsia="en-US"/>
        </w:rPr>
        <w:t xml:space="preserve"> недобросовестных поставщиках (исполнителях, подрядчиках), что составляет 52 % от рассмотренных обращений в отношении закупок, осуществляемых в соответствии с Законом о контрактной системе. </w:t>
      </w:r>
    </w:p>
    <w:p w:rsidR="00AA18B2" w:rsidRPr="00854DEF" w:rsidRDefault="00AA18B2" w:rsidP="00AA18B2">
      <w:pPr>
        <w:ind w:firstLine="709"/>
        <w:contextualSpacing/>
        <w:jc w:val="both"/>
        <w:rPr>
          <w:rFonts w:eastAsia="Cambria"/>
          <w:sz w:val="27"/>
          <w:szCs w:val="27"/>
          <w:lang w:eastAsia="en-US"/>
        </w:rPr>
      </w:pPr>
      <w:r w:rsidRPr="00854DEF">
        <w:rPr>
          <w:rFonts w:eastAsia="Cambria"/>
          <w:sz w:val="27"/>
          <w:szCs w:val="27"/>
          <w:lang w:eastAsia="en-US"/>
        </w:rPr>
        <w:t>При этом</w:t>
      </w:r>
      <w:proofErr w:type="gramStart"/>
      <w:r w:rsidRPr="00854DEF">
        <w:rPr>
          <w:rFonts w:eastAsia="Cambria"/>
          <w:sz w:val="27"/>
          <w:szCs w:val="27"/>
          <w:lang w:eastAsia="en-US"/>
        </w:rPr>
        <w:t>,</w:t>
      </w:r>
      <w:proofErr w:type="gramEnd"/>
      <w:r w:rsidRPr="00854DEF">
        <w:rPr>
          <w:rFonts w:eastAsia="Cambria"/>
          <w:sz w:val="27"/>
          <w:szCs w:val="27"/>
          <w:lang w:eastAsia="en-US"/>
        </w:rPr>
        <w:t xml:space="preserve"> статистические данные свидетельствуют о том, что количество обращений заказчиков в Тюменское УФАС России по вопросам включения участников закупок в 2016 году по сравнению с 2015 годом снизилось (в 2015 поступило 144 обращений). </w:t>
      </w:r>
    </w:p>
    <w:p w:rsidR="00AA18B2" w:rsidRPr="00854DEF" w:rsidRDefault="006948AA" w:rsidP="00AA18B2">
      <w:pPr>
        <w:ind w:firstLine="709"/>
        <w:contextualSpacing/>
        <w:jc w:val="both"/>
        <w:rPr>
          <w:rFonts w:eastAsia="Cambria"/>
          <w:sz w:val="27"/>
          <w:szCs w:val="27"/>
          <w:lang w:eastAsia="en-US"/>
        </w:rPr>
      </w:pPr>
      <w:r w:rsidRPr="00854DEF">
        <w:rPr>
          <w:rFonts w:eastAsia="Cambria"/>
          <w:sz w:val="27"/>
          <w:szCs w:val="27"/>
          <w:lang w:eastAsia="en-US"/>
        </w:rPr>
        <w:t>Основными причинами</w:t>
      </w:r>
      <w:r w:rsidR="0083468A" w:rsidRPr="00854DEF">
        <w:rPr>
          <w:rFonts w:eastAsia="Cambria"/>
          <w:sz w:val="27"/>
          <w:szCs w:val="27"/>
          <w:lang w:eastAsia="en-US"/>
        </w:rPr>
        <w:t xml:space="preserve"> включения в реестр недобросовестных поставщиков является уклонение участника заку</w:t>
      </w:r>
      <w:r w:rsidR="00AA18B2" w:rsidRPr="00854DEF">
        <w:rPr>
          <w:rFonts w:eastAsia="Cambria"/>
          <w:sz w:val="27"/>
          <w:szCs w:val="27"/>
          <w:lang w:eastAsia="en-US"/>
        </w:rPr>
        <w:t>пок от заключения контракта (25</w:t>
      </w:r>
      <w:r w:rsidRPr="00854DEF">
        <w:rPr>
          <w:rFonts w:eastAsia="Cambria"/>
          <w:sz w:val="27"/>
          <w:szCs w:val="27"/>
          <w:lang w:eastAsia="en-US"/>
        </w:rPr>
        <w:t xml:space="preserve"> % от включенных в Реестр лиц), а также в связи</w:t>
      </w:r>
      <w:r w:rsidRPr="00854DEF">
        <w:rPr>
          <w:rFonts w:eastAsia="Calibri"/>
          <w:sz w:val="27"/>
          <w:szCs w:val="27"/>
          <w:lang w:eastAsia="en-US"/>
        </w:rPr>
        <w:t xml:space="preserve"> с односторонним отказом заказчика от исполнения контракта</w:t>
      </w:r>
      <w:r w:rsidR="00496399" w:rsidRPr="00854DEF">
        <w:rPr>
          <w:rFonts w:eastAsia="Calibri"/>
          <w:sz w:val="27"/>
          <w:szCs w:val="27"/>
          <w:lang w:eastAsia="en-US"/>
        </w:rPr>
        <w:t xml:space="preserve"> </w:t>
      </w:r>
      <w:r w:rsidR="00AA18B2" w:rsidRPr="00854DEF">
        <w:rPr>
          <w:rFonts w:eastAsia="Cambria"/>
          <w:sz w:val="27"/>
          <w:szCs w:val="27"/>
          <w:lang w:eastAsia="en-US"/>
        </w:rPr>
        <w:t>(46</w:t>
      </w:r>
      <w:r w:rsidR="00496399" w:rsidRPr="00854DEF">
        <w:rPr>
          <w:rFonts w:eastAsia="Cambria"/>
          <w:sz w:val="27"/>
          <w:szCs w:val="27"/>
          <w:lang w:eastAsia="en-US"/>
        </w:rPr>
        <w:t xml:space="preserve"> % от включенных в Реестр лиц).</w:t>
      </w:r>
    </w:p>
    <w:p w:rsidR="00AA18B2" w:rsidRPr="00854DEF" w:rsidRDefault="00AA18B2" w:rsidP="0083468A">
      <w:pPr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54DEF">
        <w:rPr>
          <w:rFonts w:eastAsia="Calibri"/>
          <w:sz w:val="27"/>
          <w:szCs w:val="27"/>
          <w:lang w:eastAsia="en-US"/>
        </w:rPr>
        <w:lastRenderedPageBreak/>
        <w:t>Необходимо также отметить, что в 29 случаях основанием для отказа о включении сведений в отношении участников закупок явилось нарушение заказчиками процедуры расторжения контракта, установленной Законом о контрактной системе.</w:t>
      </w:r>
    </w:p>
    <w:p w:rsidR="009B6633" w:rsidRPr="00854DEF" w:rsidRDefault="009B6633" w:rsidP="0083468A">
      <w:pPr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045A12" w:rsidRPr="00854DEF" w:rsidRDefault="00053611" w:rsidP="0083468A">
      <w:pPr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54DEF">
        <w:rPr>
          <w:rFonts w:eastAsia="Calibri"/>
          <w:sz w:val="27"/>
          <w:szCs w:val="27"/>
          <w:lang w:eastAsia="en-US"/>
        </w:rPr>
        <w:t>Наиболее распространенной формой недобросовестного поведения является уклонение от заключения контракта (договора), которое как показывает практика, может проявляться в следующих действиях (бездействии):</w:t>
      </w:r>
    </w:p>
    <w:p w:rsidR="00053611" w:rsidRPr="00854DEF" w:rsidRDefault="00053611" w:rsidP="0083468A">
      <w:pPr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0C046A" w:rsidRPr="00854DEF" w:rsidRDefault="00CE4A20" w:rsidP="000C046A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proofErr w:type="gramStart"/>
      <w:r w:rsidRPr="00854DEF">
        <w:rPr>
          <w:rFonts w:eastAsia="Calibri"/>
          <w:i/>
          <w:sz w:val="27"/>
          <w:szCs w:val="27"/>
          <w:lang w:eastAsia="en-US"/>
        </w:rPr>
        <w:t xml:space="preserve">- </w:t>
      </w:r>
      <w:proofErr w:type="spellStart"/>
      <w:r w:rsidR="000C046A" w:rsidRPr="00854DEF">
        <w:rPr>
          <w:rFonts w:eastAsia="Calibri"/>
          <w:i/>
          <w:sz w:val="27"/>
          <w:szCs w:val="27"/>
          <w:lang w:eastAsia="en-US"/>
        </w:rPr>
        <w:t>Непредоставление</w:t>
      </w:r>
      <w:proofErr w:type="spellEnd"/>
      <w:r w:rsidR="000C046A" w:rsidRPr="00854DEF">
        <w:rPr>
          <w:rFonts w:eastAsia="Calibri"/>
          <w:i/>
          <w:sz w:val="27"/>
          <w:szCs w:val="27"/>
          <w:lang w:eastAsia="en-US"/>
        </w:rPr>
        <w:t xml:space="preserve"> надлежащей банковской гарантии в качестве обеспечения исполнения контракта</w:t>
      </w:r>
      <w:r w:rsidR="000C046A" w:rsidRPr="00854DEF">
        <w:rPr>
          <w:rFonts w:eastAsia="Calibri"/>
          <w:sz w:val="27"/>
          <w:szCs w:val="27"/>
          <w:lang w:eastAsia="en-US"/>
        </w:rPr>
        <w:t xml:space="preserve"> </w:t>
      </w:r>
      <w:r w:rsidR="00EB46B0" w:rsidRPr="00854DEF">
        <w:rPr>
          <w:rFonts w:eastAsia="Calibri"/>
          <w:sz w:val="27"/>
          <w:szCs w:val="27"/>
          <w:lang w:eastAsia="en-US"/>
        </w:rPr>
        <w:t>(</w:t>
      </w:r>
      <w:r w:rsidR="000C046A" w:rsidRPr="00854DEF">
        <w:rPr>
          <w:sz w:val="27"/>
          <w:szCs w:val="27"/>
          <w:lang w:eastAsia="en-US"/>
        </w:rPr>
        <w:t>отсутствие информации о ней в реестре банковских гарантий</w:t>
      </w:r>
      <w:proofErr w:type="gramEnd"/>
    </w:p>
    <w:p w:rsidR="00EB46B0" w:rsidRPr="00854DEF" w:rsidRDefault="00EB46B0" w:rsidP="00EB46B0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  <w:r w:rsidRPr="00854DEF">
        <w:rPr>
          <w:sz w:val="27"/>
          <w:szCs w:val="27"/>
          <w:lang w:eastAsia="en-US"/>
        </w:rPr>
        <w:t>и</w:t>
      </w:r>
      <w:r w:rsidR="000C046A" w:rsidRPr="00854DEF">
        <w:rPr>
          <w:sz w:val="27"/>
          <w:szCs w:val="27"/>
          <w:lang w:eastAsia="en-US"/>
        </w:rPr>
        <w:t xml:space="preserve"> ее несоответствие условиям, указанным в Законе и документации о закупке</w:t>
      </w:r>
      <w:r w:rsidRPr="00854DEF">
        <w:rPr>
          <w:sz w:val="27"/>
          <w:szCs w:val="27"/>
          <w:lang w:eastAsia="en-US"/>
        </w:rPr>
        <w:t>).</w:t>
      </w:r>
    </w:p>
    <w:p w:rsidR="00EB46B0" w:rsidRPr="00EB46B0" w:rsidRDefault="00EB46B0" w:rsidP="00EB46B0">
      <w:pPr>
        <w:autoSpaceDE w:val="0"/>
        <w:autoSpaceDN w:val="0"/>
        <w:adjustRightInd w:val="0"/>
        <w:jc w:val="both"/>
        <w:rPr>
          <w:bCs/>
          <w:color w:val="FF0000"/>
          <w:sz w:val="27"/>
          <w:szCs w:val="27"/>
        </w:rPr>
      </w:pPr>
      <w:r w:rsidRPr="00EB46B0">
        <w:rPr>
          <w:sz w:val="27"/>
          <w:szCs w:val="27"/>
        </w:rPr>
        <w:t xml:space="preserve">           </w:t>
      </w:r>
      <w:r w:rsidRPr="00854DEF">
        <w:rPr>
          <w:sz w:val="27"/>
          <w:szCs w:val="27"/>
        </w:rPr>
        <w:t>В этой связи</w:t>
      </w:r>
      <w:r w:rsidRPr="00EB46B0">
        <w:rPr>
          <w:sz w:val="27"/>
          <w:szCs w:val="27"/>
        </w:rPr>
        <w:t>,</w:t>
      </w:r>
      <w:r w:rsidRPr="00854DEF">
        <w:rPr>
          <w:sz w:val="27"/>
          <w:szCs w:val="27"/>
        </w:rPr>
        <w:t xml:space="preserve"> считаем необходимым отметить, что</w:t>
      </w:r>
      <w:r w:rsidRPr="00EB46B0">
        <w:rPr>
          <w:sz w:val="27"/>
          <w:szCs w:val="27"/>
        </w:rPr>
        <w:t xml:space="preserve"> оформление банковской гарантии, которая позволит заказчику подписать с победителем </w:t>
      </w:r>
      <w:r w:rsidRPr="00854DEF">
        <w:rPr>
          <w:sz w:val="27"/>
          <w:szCs w:val="27"/>
        </w:rPr>
        <w:t xml:space="preserve">закупки </w:t>
      </w:r>
      <w:r w:rsidRPr="00EB46B0">
        <w:rPr>
          <w:sz w:val="27"/>
          <w:szCs w:val="27"/>
        </w:rPr>
        <w:t xml:space="preserve">контракт, </w:t>
      </w:r>
      <w:r w:rsidR="00F4740F" w:rsidRPr="00854DEF">
        <w:rPr>
          <w:sz w:val="27"/>
          <w:szCs w:val="27"/>
        </w:rPr>
        <w:t xml:space="preserve">в силу Закона </w:t>
      </w:r>
      <w:r w:rsidRPr="00EB46B0">
        <w:rPr>
          <w:sz w:val="27"/>
          <w:szCs w:val="27"/>
        </w:rPr>
        <w:t xml:space="preserve">возложена </w:t>
      </w:r>
      <w:r w:rsidRPr="00854DEF">
        <w:rPr>
          <w:sz w:val="27"/>
          <w:szCs w:val="27"/>
        </w:rPr>
        <w:t>именно на участника закупки</w:t>
      </w:r>
      <w:r w:rsidRPr="00EB46B0">
        <w:rPr>
          <w:sz w:val="27"/>
          <w:szCs w:val="27"/>
        </w:rPr>
        <w:t>, поскольку именно  победитель выбирает способ обеспечения и на него возлагается обяз</w:t>
      </w:r>
      <w:r w:rsidR="00F4740F" w:rsidRPr="00854DEF">
        <w:rPr>
          <w:sz w:val="27"/>
          <w:szCs w:val="27"/>
        </w:rPr>
        <w:t>анность представить обеспечение, соответствующее всем требованиям, предъявляемым к данному документу.</w:t>
      </w:r>
    </w:p>
    <w:p w:rsidR="00053611" w:rsidRPr="00854DEF" w:rsidRDefault="00053611" w:rsidP="00EB46B0">
      <w:pPr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053611" w:rsidRPr="00854DEF" w:rsidRDefault="00CE4A20" w:rsidP="00053611">
      <w:pPr>
        <w:ind w:firstLine="600"/>
        <w:jc w:val="both"/>
        <w:rPr>
          <w:rFonts w:ascii="Roboto Slab" w:hAnsi="Roboto Slab"/>
          <w:sz w:val="27"/>
          <w:szCs w:val="27"/>
        </w:rPr>
      </w:pPr>
      <w:r w:rsidRPr="00854DEF">
        <w:rPr>
          <w:rFonts w:ascii="Roboto Slab" w:hAnsi="Roboto Slab"/>
          <w:i/>
          <w:sz w:val="27"/>
          <w:szCs w:val="27"/>
        </w:rPr>
        <w:t xml:space="preserve">- </w:t>
      </w:r>
      <w:r w:rsidR="00053611" w:rsidRPr="00854DEF">
        <w:rPr>
          <w:rFonts w:ascii="Roboto Slab" w:hAnsi="Roboto Slab"/>
          <w:i/>
          <w:sz w:val="27"/>
          <w:szCs w:val="27"/>
        </w:rPr>
        <w:t>Невыполнение участником закупки антидемпинговых мер</w:t>
      </w:r>
      <w:r w:rsidR="00053611" w:rsidRPr="00854DEF">
        <w:rPr>
          <w:rFonts w:ascii="Roboto Slab" w:hAnsi="Roboto Slab"/>
          <w:sz w:val="27"/>
          <w:szCs w:val="27"/>
        </w:rPr>
        <w:t xml:space="preserve"> в случае снижения цены контракта на 25 % и более от НМЦК (ст.37 №44-ФЗ). </w:t>
      </w:r>
    </w:p>
    <w:p w:rsidR="00053611" w:rsidRPr="00854DEF" w:rsidRDefault="00053611" w:rsidP="00053611">
      <w:pPr>
        <w:jc w:val="both"/>
        <w:rPr>
          <w:rFonts w:ascii="Roboto Slab" w:hAnsi="Roboto Slab"/>
          <w:sz w:val="27"/>
          <w:szCs w:val="27"/>
        </w:rPr>
      </w:pPr>
    </w:p>
    <w:p w:rsidR="00053611" w:rsidRPr="00854DEF" w:rsidRDefault="00CE4A20" w:rsidP="00F4740F">
      <w:pPr>
        <w:ind w:firstLine="600"/>
        <w:jc w:val="both"/>
        <w:rPr>
          <w:rFonts w:ascii="Roboto Slab" w:hAnsi="Roboto Slab"/>
          <w:sz w:val="27"/>
          <w:szCs w:val="27"/>
        </w:rPr>
      </w:pPr>
      <w:r w:rsidRPr="00854DEF">
        <w:rPr>
          <w:rFonts w:ascii="Roboto Slab" w:hAnsi="Roboto Slab"/>
          <w:i/>
          <w:sz w:val="27"/>
          <w:szCs w:val="27"/>
        </w:rPr>
        <w:t xml:space="preserve">- </w:t>
      </w:r>
      <w:proofErr w:type="spellStart"/>
      <w:r w:rsidR="00053611" w:rsidRPr="00854DEF">
        <w:rPr>
          <w:rFonts w:ascii="Roboto Slab" w:hAnsi="Roboto Slab"/>
          <w:i/>
          <w:sz w:val="27"/>
          <w:szCs w:val="27"/>
        </w:rPr>
        <w:t>Непредоставление</w:t>
      </w:r>
      <w:proofErr w:type="spellEnd"/>
      <w:r w:rsidR="00053611" w:rsidRPr="00854DEF">
        <w:rPr>
          <w:rFonts w:ascii="Roboto Slab" w:hAnsi="Roboto Slab"/>
          <w:i/>
          <w:sz w:val="27"/>
          <w:szCs w:val="27"/>
        </w:rPr>
        <w:t xml:space="preserve"> обоснования цены контракта (</w:t>
      </w:r>
      <w:r w:rsidR="00053611" w:rsidRPr="00854DEF">
        <w:rPr>
          <w:rFonts w:ascii="Roboto Slab" w:hAnsi="Roboto Slab" w:hint="eastAsia"/>
          <w:i/>
          <w:sz w:val="27"/>
          <w:szCs w:val="27"/>
        </w:rPr>
        <w:t>ч</w:t>
      </w:r>
      <w:r w:rsidR="00053611" w:rsidRPr="00854DEF">
        <w:rPr>
          <w:rFonts w:ascii="Roboto Slab" w:hAnsi="Roboto Slab"/>
          <w:i/>
          <w:sz w:val="27"/>
          <w:szCs w:val="27"/>
        </w:rPr>
        <w:t>.9 ст. 37 №44-ФЗ)</w:t>
      </w:r>
      <w:r w:rsidR="00F4740F" w:rsidRPr="00854DEF">
        <w:rPr>
          <w:rFonts w:ascii="Roboto Slab" w:hAnsi="Roboto Slab"/>
          <w:sz w:val="27"/>
          <w:szCs w:val="27"/>
        </w:rPr>
        <w:t xml:space="preserve"> </w:t>
      </w:r>
      <w:r w:rsidR="00053611" w:rsidRPr="00854DEF">
        <w:rPr>
          <w:sz w:val="27"/>
          <w:szCs w:val="27"/>
        </w:rPr>
        <w:t xml:space="preserve">которое может включать в себя гарантийное письмо от производителя с указанием цены и количества поставляемого товара, документы, подтверждающие наличие товара у поставщика, иные документы и расчеты, подтверждающие возможность осуществить поставку товара по предлагаемой цене. Однако, как показывает </w:t>
      </w:r>
      <w:proofErr w:type="gramStart"/>
      <w:r w:rsidR="00053611" w:rsidRPr="00854DEF">
        <w:rPr>
          <w:sz w:val="27"/>
          <w:szCs w:val="27"/>
        </w:rPr>
        <w:t>практика</w:t>
      </w:r>
      <w:proofErr w:type="gramEnd"/>
      <w:r w:rsidR="00053611" w:rsidRPr="00854DEF">
        <w:rPr>
          <w:sz w:val="27"/>
          <w:szCs w:val="27"/>
        </w:rPr>
        <w:t xml:space="preserve"> участники пренебрегают данным требованием закона, не предоставляя необходимые документы и сведения, наличие которым является обязательным условием для заключения контракта.</w:t>
      </w:r>
    </w:p>
    <w:p w:rsidR="00053611" w:rsidRPr="00854DEF" w:rsidRDefault="00053611" w:rsidP="00CE4A20">
      <w:pPr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213D34" w:rsidRPr="00854DEF" w:rsidRDefault="00213D34" w:rsidP="00F4740F">
      <w:pPr>
        <w:spacing w:line="465" w:lineRule="atLeast"/>
        <w:jc w:val="both"/>
        <w:textAlignment w:val="top"/>
        <w:rPr>
          <w:color w:val="2F2F2F"/>
          <w:sz w:val="27"/>
          <w:szCs w:val="27"/>
        </w:rPr>
      </w:pPr>
      <w:r w:rsidRPr="00854DEF">
        <w:rPr>
          <w:color w:val="2F2F2F"/>
          <w:sz w:val="27"/>
          <w:szCs w:val="27"/>
        </w:rPr>
        <w:t xml:space="preserve">         </w:t>
      </w:r>
      <w:r w:rsidR="00F4740F" w:rsidRPr="00854DEF">
        <w:rPr>
          <w:color w:val="2F2F2F"/>
          <w:sz w:val="27"/>
          <w:szCs w:val="27"/>
        </w:rPr>
        <w:t xml:space="preserve"> ЗАКЛЮЧЕНИЕ </w:t>
      </w:r>
    </w:p>
    <w:p w:rsidR="00F4740F" w:rsidRPr="00854DEF" w:rsidRDefault="00F4740F" w:rsidP="00F4740F">
      <w:pPr>
        <w:spacing w:line="465" w:lineRule="atLeast"/>
        <w:jc w:val="both"/>
        <w:textAlignment w:val="top"/>
        <w:rPr>
          <w:color w:val="2F2F2F"/>
          <w:sz w:val="27"/>
          <w:szCs w:val="27"/>
        </w:rPr>
      </w:pPr>
    </w:p>
    <w:p w:rsidR="00CE4A20" w:rsidRPr="00854DEF" w:rsidRDefault="00CE4A20" w:rsidP="00CE4A20">
      <w:pPr>
        <w:jc w:val="both"/>
        <w:rPr>
          <w:sz w:val="27"/>
          <w:szCs w:val="27"/>
        </w:rPr>
      </w:pPr>
      <w:r w:rsidRPr="00854DEF">
        <w:rPr>
          <w:sz w:val="27"/>
          <w:szCs w:val="27"/>
        </w:rPr>
        <w:t xml:space="preserve">           Исходя из анализа всех нарушений, допущенных субъектами контроля, следует, что основными причинами таких нарушениями, является, прежде </w:t>
      </w:r>
      <w:proofErr w:type="gramStart"/>
      <w:r w:rsidRPr="00854DEF">
        <w:rPr>
          <w:sz w:val="27"/>
          <w:szCs w:val="27"/>
        </w:rPr>
        <w:t>всего</w:t>
      </w:r>
      <w:proofErr w:type="gramEnd"/>
      <w:r w:rsidRPr="00854DEF">
        <w:rPr>
          <w:sz w:val="27"/>
          <w:szCs w:val="27"/>
        </w:rPr>
        <w:t xml:space="preserve"> субъективный фактор - это слабое знание исполнителями  положений  Закона о контрактной системе,  недооценка  важности и значимости  безусловного  выполнения всех  предусмотренных Законом процедур  для  соблюдения  прав  участников   закупочной деятельности,  недооценка  возросшего объема  работы  заказчиков и их комиссий  по   осуществлению  всех закупочных процедур.  </w:t>
      </w:r>
    </w:p>
    <w:p w:rsidR="00CE4A20" w:rsidRPr="00854DEF" w:rsidRDefault="00CE4A20" w:rsidP="00CE4A2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54DEF">
        <w:rPr>
          <w:sz w:val="27"/>
          <w:szCs w:val="27"/>
        </w:rPr>
        <w:t xml:space="preserve">          В этой связи особо хотелось бы отметить тот возросший объем ответственности соответствующих контрактных служб (контрактных управляющих) заказчиков, поскольку на сегодняшний день именно их  высокого профессионализма зависит  качество, результативность и эффективность проведения закупочных процедур. </w:t>
      </w:r>
    </w:p>
    <w:p w:rsidR="00CE4A20" w:rsidRPr="00854DEF" w:rsidRDefault="00CE4A20" w:rsidP="00854DEF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854DEF">
        <w:rPr>
          <w:sz w:val="27"/>
          <w:szCs w:val="27"/>
        </w:rPr>
        <w:lastRenderedPageBreak/>
        <w:t xml:space="preserve">         </w:t>
      </w:r>
      <w:r w:rsidR="00EB3CD5">
        <w:rPr>
          <w:sz w:val="27"/>
          <w:szCs w:val="27"/>
        </w:rPr>
        <w:t xml:space="preserve">Кроме того, </w:t>
      </w:r>
      <w:r w:rsidRPr="00854DEF">
        <w:rPr>
          <w:sz w:val="27"/>
          <w:szCs w:val="27"/>
        </w:rPr>
        <w:t xml:space="preserve">с сожалением не можем не отметить, что контрактные службы отдельных заказчиков самоустранились от исполнений своих прямых профессиональных обязанностей по участию в рассмотрении дел об обжаловании действий (бездействия) Заказчика, </w:t>
      </w:r>
      <w:proofErr w:type="gramStart"/>
      <w:r w:rsidRPr="00854DEF">
        <w:rPr>
          <w:sz w:val="27"/>
          <w:szCs w:val="27"/>
        </w:rPr>
        <w:t>что</w:t>
      </w:r>
      <w:proofErr w:type="gramEnd"/>
      <w:r w:rsidRPr="00854DEF">
        <w:rPr>
          <w:sz w:val="27"/>
          <w:szCs w:val="27"/>
        </w:rPr>
        <w:t xml:space="preserve"> безусловно создает определенные затруднения в работе комиссии антимонопольного органа по объективному и всестороннему рассмотрению жалоб участников закупок с учетом аргументированных позиций всех сторон по делу. </w:t>
      </w:r>
    </w:p>
    <w:p w:rsidR="00F4740F" w:rsidRPr="00854DEF" w:rsidRDefault="00CE4A20" w:rsidP="00854DEF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854DEF">
        <w:rPr>
          <w:rFonts w:eastAsia="Calibri"/>
          <w:sz w:val="27"/>
          <w:szCs w:val="27"/>
          <w:lang w:eastAsia="en-US"/>
        </w:rPr>
        <w:t>По мнению Тюменского УФАС России такие негативные явления</w:t>
      </w:r>
      <w:r w:rsidR="00F4740F" w:rsidRPr="00854DEF">
        <w:rPr>
          <w:rFonts w:eastAsia="Calibri"/>
          <w:sz w:val="27"/>
          <w:szCs w:val="27"/>
          <w:lang w:eastAsia="en-US"/>
        </w:rPr>
        <w:t xml:space="preserve"> могут быть устранены исключительно повышением уровня знаний и професс</w:t>
      </w:r>
      <w:r w:rsidRPr="00854DEF">
        <w:rPr>
          <w:rFonts w:eastAsia="Calibri"/>
          <w:sz w:val="27"/>
          <w:szCs w:val="27"/>
          <w:lang w:eastAsia="en-US"/>
        </w:rPr>
        <w:t>иональных компетенций всех участников закупочной деятельности.</w:t>
      </w:r>
    </w:p>
    <w:p w:rsidR="00F4740F" w:rsidRPr="00854DEF" w:rsidRDefault="00F4740F" w:rsidP="00854DEF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854DEF">
        <w:rPr>
          <w:rFonts w:eastAsia="Calibri"/>
          <w:sz w:val="27"/>
          <w:szCs w:val="27"/>
          <w:lang w:eastAsia="en-US"/>
        </w:rPr>
        <w:t xml:space="preserve">Формы такой работы могут быть разными – это и проведение семинаров – совещаний и круглых столов с участием заинтересованных сторон, и направление сотрудников контрактных служб на курсы повышения квалификации, а так же создание рабочих групп из числа сотрудников </w:t>
      </w:r>
      <w:r w:rsidR="00CE4A20" w:rsidRPr="00854DEF">
        <w:rPr>
          <w:rFonts w:eastAsia="Calibri"/>
          <w:sz w:val="27"/>
          <w:szCs w:val="27"/>
          <w:lang w:eastAsia="en-US"/>
        </w:rPr>
        <w:t xml:space="preserve">антимонопольного органа  </w:t>
      </w:r>
      <w:r w:rsidRPr="00854DEF">
        <w:rPr>
          <w:rFonts w:eastAsia="Calibri"/>
          <w:sz w:val="27"/>
          <w:szCs w:val="27"/>
          <w:lang w:eastAsia="en-US"/>
        </w:rPr>
        <w:t>для периодического обсуждения возникающих проблем и выработки мер для их решения.</w:t>
      </w:r>
    </w:p>
    <w:p w:rsidR="00045A12" w:rsidRPr="00854DEF" w:rsidRDefault="00045A12" w:rsidP="0083468A">
      <w:pPr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045A12" w:rsidRPr="00D9396E" w:rsidRDefault="00EB3CD5" w:rsidP="00D9396E">
      <w:pPr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D9396E">
        <w:rPr>
          <w:rFonts w:eastAsia="Calibri"/>
          <w:sz w:val="27"/>
          <w:szCs w:val="27"/>
          <w:lang w:eastAsia="en-US"/>
        </w:rPr>
        <w:t xml:space="preserve">В то же время </w:t>
      </w:r>
      <w:r w:rsidR="00854DEF" w:rsidRPr="00D9396E">
        <w:rPr>
          <w:rFonts w:eastAsia="Calibri"/>
          <w:sz w:val="27"/>
          <w:szCs w:val="27"/>
          <w:lang w:eastAsia="en-US"/>
        </w:rPr>
        <w:t xml:space="preserve">не можем не отметить и тот факт, что на сегодняшний день Тюменская область </w:t>
      </w:r>
      <w:r w:rsidRPr="00D9396E">
        <w:rPr>
          <w:rFonts w:eastAsia="Calibri"/>
          <w:sz w:val="27"/>
          <w:szCs w:val="27"/>
          <w:lang w:eastAsia="en-US"/>
        </w:rPr>
        <w:t xml:space="preserve">возглавила </w:t>
      </w:r>
      <w:r w:rsidRPr="00D9396E">
        <w:rPr>
          <w:sz w:val="27"/>
          <w:szCs w:val="27"/>
        </w:rPr>
        <w:t>Рейтинг эффективности и прозрачности закупочных систем среди регионов Российской Федерации, который организован Общероссийской общественной организацией «Гильдия отечественных закупщиков и специалистов по закупкам и продажам»</w:t>
      </w:r>
      <w:r w:rsidRPr="00D9396E">
        <w:rPr>
          <w:rFonts w:eastAsia="Calibri"/>
          <w:sz w:val="27"/>
          <w:szCs w:val="27"/>
          <w:lang w:eastAsia="en-US"/>
        </w:rPr>
        <w:t xml:space="preserve">. Тюменская область получила положительную оценку по таким направлениям как </w:t>
      </w:r>
      <w:r w:rsidRPr="00D9396E">
        <w:rPr>
          <w:sz w:val="27"/>
          <w:szCs w:val="27"/>
        </w:rPr>
        <w:t>«Оценка организационной структуры закупок региона», «Снятие административных барьеров и обеспечение доступности информации о региональной си</w:t>
      </w:r>
      <w:r w:rsidR="00D9396E" w:rsidRPr="00D9396E">
        <w:rPr>
          <w:sz w:val="27"/>
          <w:szCs w:val="27"/>
        </w:rPr>
        <w:t>стеме государственных закупок».</w:t>
      </w:r>
    </w:p>
    <w:p w:rsidR="003F663C" w:rsidRPr="00D9396E" w:rsidRDefault="003F663C" w:rsidP="00496399">
      <w:pPr>
        <w:jc w:val="both"/>
        <w:rPr>
          <w:b/>
          <w:i/>
          <w:sz w:val="27"/>
          <w:szCs w:val="27"/>
        </w:rPr>
      </w:pPr>
    </w:p>
    <w:p w:rsidR="000A0D08" w:rsidRPr="00854DEF" w:rsidRDefault="000A0D08" w:rsidP="000A0D08">
      <w:pPr>
        <w:pStyle w:val="a4"/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0A0D08" w:rsidRPr="00854DEF" w:rsidSect="00B771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Slab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83EFFF2"/>
    <w:lvl w:ilvl="0">
      <w:start w:val="1"/>
      <w:numFmt w:val="none"/>
      <w:pStyle w:val="a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71"/>
    <w:rsid w:val="00035137"/>
    <w:rsid w:val="00045A12"/>
    <w:rsid w:val="00053611"/>
    <w:rsid w:val="00065126"/>
    <w:rsid w:val="000835FF"/>
    <w:rsid w:val="000A0D08"/>
    <w:rsid w:val="000B5F53"/>
    <w:rsid w:val="000C046A"/>
    <w:rsid w:val="000F01AB"/>
    <w:rsid w:val="001F339C"/>
    <w:rsid w:val="00202119"/>
    <w:rsid w:val="00213D34"/>
    <w:rsid w:val="0029710E"/>
    <w:rsid w:val="002A7A97"/>
    <w:rsid w:val="002B628E"/>
    <w:rsid w:val="00302CDD"/>
    <w:rsid w:val="003771DF"/>
    <w:rsid w:val="00385AAC"/>
    <w:rsid w:val="003E4E46"/>
    <w:rsid w:val="003F663C"/>
    <w:rsid w:val="004059D0"/>
    <w:rsid w:val="00496399"/>
    <w:rsid w:val="004A0771"/>
    <w:rsid w:val="005709D1"/>
    <w:rsid w:val="006948AA"/>
    <w:rsid w:val="0070666C"/>
    <w:rsid w:val="00727B6D"/>
    <w:rsid w:val="00735D9C"/>
    <w:rsid w:val="0075638C"/>
    <w:rsid w:val="00775821"/>
    <w:rsid w:val="00776EAB"/>
    <w:rsid w:val="007A7BF6"/>
    <w:rsid w:val="007C1BF6"/>
    <w:rsid w:val="0083468A"/>
    <w:rsid w:val="00854DEF"/>
    <w:rsid w:val="00860EF7"/>
    <w:rsid w:val="008873BF"/>
    <w:rsid w:val="00897674"/>
    <w:rsid w:val="008A4897"/>
    <w:rsid w:val="008C5576"/>
    <w:rsid w:val="008D583D"/>
    <w:rsid w:val="00925B18"/>
    <w:rsid w:val="00956A94"/>
    <w:rsid w:val="009B6633"/>
    <w:rsid w:val="009C055D"/>
    <w:rsid w:val="009C5C20"/>
    <w:rsid w:val="009F2E6A"/>
    <w:rsid w:val="009F5890"/>
    <w:rsid w:val="00A57A52"/>
    <w:rsid w:val="00A64F18"/>
    <w:rsid w:val="00AA18B2"/>
    <w:rsid w:val="00B06DE9"/>
    <w:rsid w:val="00B74370"/>
    <w:rsid w:val="00B77101"/>
    <w:rsid w:val="00BC601D"/>
    <w:rsid w:val="00C00767"/>
    <w:rsid w:val="00C555D2"/>
    <w:rsid w:val="00C672CB"/>
    <w:rsid w:val="00C7721D"/>
    <w:rsid w:val="00CB760A"/>
    <w:rsid w:val="00CC543D"/>
    <w:rsid w:val="00CE4A20"/>
    <w:rsid w:val="00D2225A"/>
    <w:rsid w:val="00D276C7"/>
    <w:rsid w:val="00D3007F"/>
    <w:rsid w:val="00D46204"/>
    <w:rsid w:val="00D86575"/>
    <w:rsid w:val="00D9396E"/>
    <w:rsid w:val="00E41332"/>
    <w:rsid w:val="00E56D89"/>
    <w:rsid w:val="00E81735"/>
    <w:rsid w:val="00E949B8"/>
    <w:rsid w:val="00EB3CD5"/>
    <w:rsid w:val="00EB46B0"/>
    <w:rsid w:val="00EF7F05"/>
    <w:rsid w:val="00F245E6"/>
    <w:rsid w:val="00F33D92"/>
    <w:rsid w:val="00F4740F"/>
    <w:rsid w:val="00F52875"/>
    <w:rsid w:val="00F63663"/>
    <w:rsid w:val="00FA23FC"/>
    <w:rsid w:val="00FE0950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5890"/>
    <w:rPr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F5890"/>
    <w:pPr>
      <w:keepNext/>
      <w:outlineLvl w:val="0"/>
    </w:pPr>
    <w:rPr>
      <w:sz w:val="32"/>
      <w:szCs w:val="20"/>
    </w:rPr>
  </w:style>
  <w:style w:type="paragraph" w:styleId="2">
    <w:name w:val="heading 2"/>
    <w:basedOn w:val="a0"/>
    <w:next w:val="a0"/>
    <w:link w:val="20"/>
    <w:qFormat/>
    <w:rsid w:val="009F5890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0"/>
    <w:next w:val="a0"/>
    <w:link w:val="30"/>
    <w:qFormat/>
    <w:rsid w:val="009F58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727B6D"/>
    <w:pPr>
      <w:keepNext/>
      <w:numPr>
        <w:ilvl w:val="3"/>
        <w:numId w:val="1"/>
      </w:numPr>
      <w:suppressAutoHyphens/>
      <w:jc w:val="center"/>
      <w:outlineLvl w:val="3"/>
    </w:pPr>
    <w:rPr>
      <w:b/>
      <w:bCs/>
      <w:sz w:val="22"/>
      <w:lang w:val="x-none" w:eastAsia="ar-SA"/>
    </w:rPr>
  </w:style>
  <w:style w:type="paragraph" w:styleId="5">
    <w:name w:val="heading 5"/>
    <w:basedOn w:val="a0"/>
    <w:next w:val="a0"/>
    <w:link w:val="50"/>
    <w:uiPriority w:val="99"/>
    <w:qFormat/>
    <w:rsid w:val="00727B6D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0"/>
    <w:next w:val="a0"/>
    <w:link w:val="60"/>
    <w:uiPriority w:val="99"/>
    <w:qFormat/>
    <w:rsid w:val="00727B6D"/>
    <w:pPr>
      <w:keepNext/>
      <w:numPr>
        <w:ilvl w:val="5"/>
        <w:numId w:val="1"/>
      </w:numPr>
      <w:suppressAutoHyphens/>
      <w:ind w:left="4320" w:hanging="180"/>
      <w:outlineLvl w:val="5"/>
    </w:pPr>
    <w:rPr>
      <w:sz w:val="32"/>
      <w:lang w:val="x-none" w:eastAsia="ar-SA"/>
    </w:rPr>
  </w:style>
  <w:style w:type="paragraph" w:styleId="8">
    <w:name w:val="heading 8"/>
    <w:basedOn w:val="a0"/>
    <w:next w:val="a0"/>
    <w:link w:val="80"/>
    <w:uiPriority w:val="99"/>
    <w:qFormat/>
    <w:rsid w:val="00727B6D"/>
    <w:pPr>
      <w:widowControl w:val="0"/>
      <w:numPr>
        <w:ilvl w:val="7"/>
        <w:numId w:val="1"/>
      </w:numPr>
      <w:suppressAutoHyphens/>
      <w:spacing w:before="240" w:after="60"/>
      <w:outlineLvl w:val="7"/>
    </w:pPr>
    <w:rPr>
      <w:rFonts w:ascii="Calibri" w:hAnsi="Calibri"/>
      <w:i/>
      <w:iCs/>
      <w:kern w:val="1"/>
      <w:sz w:val="24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F5890"/>
    <w:rPr>
      <w:sz w:val="32"/>
      <w:lang w:eastAsia="ru-RU"/>
    </w:rPr>
  </w:style>
  <w:style w:type="character" w:customStyle="1" w:styleId="20">
    <w:name w:val="Заголовок 2 Знак"/>
    <w:basedOn w:val="a1"/>
    <w:link w:val="2"/>
    <w:rsid w:val="009F5890"/>
    <w:rPr>
      <w:sz w:val="32"/>
      <w:lang w:eastAsia="ru-RU"/>
    </w:rPr>
  </w:style>
  <w:style w:type="character" w:customStyle="1" w:styleId="30">
    <w:name w:val="Заголовок 3 Знак"/>
    <w:basedOn w:val="a1"/>
    <w:link w:val="3"/>
    <w:rsid w:val="009F5890"/>
    <w:rPr>
      <w:rFonts w:ascii="Arial" w:hAnsi="Arial" w:cs="Arial"/>
      <w:b/>
      <w:bCs/>
      <w:sz w:val="26"/>
      <w:szCs w:val="26"/>
      <w:lang w:eastAsia="ru-RU"/>
    </w:rPr>
  </w:style>
  <w:style w:type="paragraph" w:styleId="a4">
    <w:name w:val="Normal (Web)"/>
    <w:basedOn w:val="a0"/>
    <w:uiPriority w:val="99"/>
    <w:unhideWhenUsed/>
    <w:rsid w:val="000A0D08"/>
    <w:pPr>
      <w:spacing w:before="100" w:beforeAutospacing="1" w:after="360" w:line="360" w:lineRule="atLeast"/>
    </w:pPr>
    <w:rPr>
      <w:rFonts w:ascii="Open Sans" w:hAnsi="Open Sans"/>
      <w:sz w:val="24"/>
    </w:rPr>
  </w:style>
  <w:style w:type="character" w:customStyle="1" w:styleId="40">
    <w:name w:val="Заголовок 4 Знак"/>
    <w:basedOn w:val="a1"/>
    <w:link w:val="4"/>
    <w:uiPriority w:val="99"/>
    <w:rsid w:val="00727B6D"/>
    <w:rPr>
      <w:b/>
      <w:bCs/>
      <w:sz w:val="22"/>
      <w:szCs w:val="24"/>
      <w:lang w:val="x-none" w:eastAsia="ar-SA"/>
    </w:rPr>
  </w:style>
  <w:style w:type="character" w:customStyle="1" w:styleId="50">
    <w:name w:val="Заголовок 5 Знак"/>
    <w:basedOn w:val="a1"/>
    <w:link w:val="5"/>
    <w:uiPriority w:val="99"/>
    <w:rsid w:val="00727B6D"/>
    <w:rPr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1"/>
    <w:link w:val="6"/>
    <w:uiPriority w:val="99"/>
    <w:rsid w:val="00727B6D"/>
    <w:rPr>
      <w:sz w:val="32"/>
      <w:szCs w:val="24"/>
      <w:lang w:val="x-none" w:eastAsia="ar-SA"/>
    </w:rPr>
  </w:style>
  <w:style w:type="character" w:customStyle="1" w:styleId="80">
    <w:name w:val="Заголовок 8 Знак"/>
    <w:basedOn w:val="a1"/>
    <w:link w:val="8"/>
    <w:uiPriority w:val="99"/>
    <w:rsid w:val="00727B6D"/>
    <w:rPr>
      <w:rFonts w:ascii="Calibri" w:hAnsi="Calibri"/>
      <w:i/>
      <w:iCs/>
      <w:kern w:val="1"/>
      <w:sz w:val="24"/>
      <w:szCs w:val="24"/>
      <w:lang w:val="x-none" w:eastAsia="ar-SA"/>
    </w:rPr>
  </w:style>
  <w:style w:type="paragraph" w:styleId="a">
    <w:name w:val="List Bullet"/>
    <w:basedOn w:val="a0"/>
    <w:uiPriority w:val="99"/>
    <w:unhideWhenUsed/>
    <w:rsid w:val="00727B6D"/>
    <w:pPr>
      <w:numPr>
        <w:numId w:val="1"/>
      </w:numPr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Indent 2"/>
    <w:basedOn w:val="a0"/>
    <w:link w:val="210"/>
    <w:unhideWhenUsed/>
    <w:rsid w:val="002A7A97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1"/>
    <w:uiPriority w:val="99"/>
    <w:semiHidden/>
    <w:rsid w:val="002A7A97"/>
    <w:rPr>
      <w:sz w:val="28"/>
      <w:szCs w:val="24"/>
      <w:lang w:eastAsia="ru-RU"/>
    </w:rPr>
  </w:style>
  <w:style w:type="character" w:customStyle="1" w:styleId="210">
    <w:name w:val="Основной текст с отступом 2 Знак1"/>
    <w:basedOn w:val="a1"/>
    <w:link w:val="21"/>
    <w:locked/>
    <w:rsid w:val="002A7A97"/>
    <w:rPr>
      <w:sz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7C1B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C1BF6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uiPriority w:val="99"/>
    <w:semiHidden/>
    <w:unhideWhenUsed/>
    <w:rsid w:val="000B5F5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0B5F53"/>
    <w:rPr>
      <w:sz w:val="28"/>
      <w:szCs w:val="24"/>
      <w:lang w:eastAsia="ru-RU"/>
    </w:rPr>
  </w:style>
  <w:style w:type="paragraph" w:customStyle="1" w:styleId="ConsPlusNormal">
    <w:name w:val="ConsPlusNormal"/>
    <w:rsid w:val="0003513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a9">
    <w:name w:val="Знак"/>
    <w:basedOn w:val="a0"/>
    <w:rsid w:val="00D222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5890"/>
    <w:rPr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F5890"/>
    <w:pPr>
      <w:keepNext/>
      <w:outlineLvl w:val="0"/>
    </w:pPr>
    <w:rPr>
      <w:sz w:val="32"/>
      <w:szCs w:val="20"/>
    </w:rPr>
  </w:style>
  <w:style w:type="paragraph" w:styleId="2">
    <w:name w:val="heading 2"/>
    <w:basedOn w:val="a0"/>
    <w:next w:val="a0"/>
    <w:link w:val="20"/>
    <w:qFormat/>
    <w:rsid w:val="009F5890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0"/>
    <w:next w:val="a0"/>
    <w:link w:val="30"/>
    <w:qFormat/>
    <w:rsid w:val="009F58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727B6D"/>
    <w:pPr>
      <w:keepNext/>
      <w:numPr>
        <w:ilvl w:val="3"/>
        <w:numId w:val="1"/>
      </w:numPr>
      <w:suppressAutoHyphens/>
      <w:jc w:val="center"/>
      <w:outlineLvl w:val="3"/>
    </w:pPr>
    <w:rPr>
      <w:b/>
      <w:bCs/>
      <w:sz w:val="22"/>
      <w:lang w:val="x-none" w:eastAsia="ar-SA"/>
    </w:rPr>
  </w:style>
  <w:style w:type="paragraph" w:styleId="5">
    <w:name w:val="heading 5"/>
    <w:basedOn w:val="a0"/>
    <w:next w:val="a0"/>
    <w:link w:val="50"/>
    <w:uiPriority w:val="99"/>
    <w:qFormat/>
    <w:rsid w:val="00727B6D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0"/>
    <w:next w:val="a0"/>
    <w:link w:val="60"/>
    <w:uiPriority w:val="99"/>
    <w:qFormat/>
    <w:rsid w:val="00727B6D"/>
    <w:pPr>
      <w:keepNext/>
      <w:numPr>
        <w:ilvl w:val="5"/>
        <w:numId w:val="1"/>
      </w:numPr>
      <w:suppressAutoHyphens/>
      <w:ind w:left="4320" w:hanging="180"/>
      <w:outlineLvl w:val="5"/>
    </w:pPr>
    <w:rPr>
      <w:sz w:val="32"/>
      <w:lang w:val="x-none" w:eastAsia="ar-SA"/>
    </w:rPr>
  </w:style>
  <w:style w:type="paragraph" w:styleId="8">
    <w:name w:val="heading 8"/>
    <w:basedOn w:val="a0"/>
    <w:next w:val="a0"/>
    <w:link w:val="80"/>
    <w:uiPriority w:val="99"/>
    <w:qFormat/>
    <w:rsid w:val="00727B6D"/>
    <w:pPr>
      <w:widowControl w:val="0"/>
      <w:numPr>
        <w:ilvl w:val="7"/>
        <w:numId w:val="1"/>
      </w:numPr>
      <w:suppressAutoHyphens/>
      <w:spacing w:before="240" w:after="60"/>
      <w:outlineLvl w:val="7"/>
    </w:pPr>
    <w:rPr>
      <w:rFonts w:ascii="Calibri" w:hAnsi="Calibri"/>
      <w:i/>
      <w:iCs/>
      <w:kern w:val="1"/>
      <w:sz w:val="24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F5890"/>
    <w:rPr>
      <w:sz w:val="32"/>
      <w:lang w:eastAsia="ru-RU"/>
    </w:rPr>
  </w:style>
  <w:style w:type="character" w:customStyle="1" w:styleId="20">
    <w:name w:val="Заголовок 2 Знак"/>
    <w:basedOn w:val="a1"/>
    <w:link w:val="2"/>
    <w:rsid w:val="009F5890"/>
    <w:rPr>
      <w:sz w:val="32"/>
      <w:lang w:eastAsia="ru-RU"/>
    </w:rPr>
  </w:style>
  <w:style w:type="character" w:customStyle="1" w:styleId="30">
    <w:name w:val="Заголовок 3 Знак"/>
    <w:basedOn w:val="a1"/>
    <w:link w:val="3"/>
    <w:rsid w:val="009F5890"/>
    <w:rPr>
      <w:rFonts w:ascii="Arial" w:hAnsi="Arial" w:cs="Arial"/>
      <w:b/>
      <w:bCs/>
      <w:sz w:val="26"/>
      <w:szCs w:val="26"/>
      <w:lang w:eastAsia="ru-RU"/>
    </w:rPr>
  </w:style>
  <w:style w:type="paragraph" w:styleId="a4">
    <w:name w:val="Normal (Web)"/>
    <w:basedOn w:val="a0"/>
    <w:uiPriority w:val="99"/>
    <w:unhideWhenUsed/>
    <w:rsid w:val="000A0D08"/>
    <w:pPr>
      <w:spacing w:before="100" w:beforeAutospacing="1" w:after="360" w:line="360" w:lineRule="atLeast"/>
    </w:pPr>
    <w:rPr>
      <w:rFonts w:ascii="Open Sans" w:hAnsi="Open Sans"/>
      <w:sz w:val="24"/>
    </w:rPr>
  </w:style>
  <w:style w:type="character" w:customStyle="1" w:styleId="40">
    <w:name w:val="Заголовок 4 Знак"/>
    <w:basedOn w:val="a1"/>
    <w:link w:val="4"/>
    <w:uiPriority w:val="99"/>
    <w:rsid w:val="00727B6D"/>
    <w:rPr>
      <w:b/>
      <w:bCs/>
      <w:sz w:val="22"/>
      <w:szCs w:val="24"/>
      <w:lang w:val="x-none" w:eastAsia="ar-SA"/>
    </w:rPr>
  </w:style>
  <w:style w:type="character" w:customStyle="1" w:styleId="50">
    <w:name w:val="Заголовок 5 Знак"/>
    <w:basedOn w:val="a1"/>
    <w:link w:val="5"/>
    <w:uiPriority w:val="99"/>
    <w:rsid w:val="00727B6D"/>
    <w:rPr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1"/>
    <w:link w:val="6"/>
    <w:uiPriority w:val="99"/>
    <w:rsid w:val="00727B6D"/>
    <w:rPr>
      <w:sz w:val="32"/>
      <w:szCs w:val="24"/>
      <w:lang w:val="x-none" w:eastAsia="ar-SA"/>
    </w:rPr>
  </w:style>
  <w:style w:type="character" w:customStyle="1" w:styleId="80">
    <w:name w:val="Заголовок 8 Знак"/>
    <w:basedOn w:val="a1"/>
    <w:link w:val="8"/>
    <w:uiPriority w:val="99"/>
    <w:rsid w:val="00727B6D"/>
    <w:rPr>
      <w:rFonts w:ascii="Calibri" w:hAnsi="Calibri"/>
      <w:i/>
      <w:iCs/>
      <w:kern w:val="1"/>
      <w:sz w:val="24"/>
      <w:szCs w:val="24"/>
      <w:lang w:val="x-none" w:eastAsia="ar-SA"/>
    </w:rPr>
  </w:style>
  <w:style w:type="paragraph" w:styleId="a">
    <w:name w:val="List Bullet"/>
    <w:basedOn w:val="a0"/>
    <w:uiPriority w:val="99"/>
    <w:unhideWhenUsed/>
    <w:rsid w:val="00727B6D"/>
    <w:pPr>
      <w:numPr>
        <w:numId w:val="1"/>
      </w:numPr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Indent 2"/>
    <w:basedOn w:val="a0"/>
    <w:link w:val="210"/>
    <w:unhideWhenUsed/>
    <w:rsid w:val="002A7A97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1"/>
    <w:uiPriority w:val="99"/>
    <w:semiHidden/>
    <w:rsid w:val="002A7A97"/>
    <w:rPr>
      <w:sz w:val="28"/>
      <w:szCs w:val="24"/>
      <w:lang w:eastAsia="ru-RU"/>
    </w:rPr>
  </w:style>
  <w:style w:type="character" w:customStyle="1" w:styleId="210">
    <w:name w:val="Основной текст с отступом 2 Знак1"/>
    <w:basedOn w:val="a1"/>
    <w:link w:val="21"/>
    <w:locked/>
    <w:rsid w:val="002A7A97"/>
    <w:rPr>
      <w:sz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7C1B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C1BF6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uiPriority w:val="99"/>
    <w:semiHidden/>
    <w:unhideWhenUsed/>
    <w:rsid w:val="000B5F5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0B5F53"/>
    <w:rPr>
      <w:sz w:val="28"/>
      <w:szCs w:val="24"/>
      <w:lang w:eastAsia="ru-RU"/>
    </w:rPr>
  </w:style>
  <w:style w:type="paragraph" w:customStyle="1" w:styleId="ConsPlusNormal">
    <w:name w:val="ConsPlusNormal"/>
    <w:rsid w:val="0003513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a9">
    <w:name w:val="Знак"/>
    <w:basedOn w:val="a0"/>
    <w:rsid w:val="00D222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698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9060EB7C3284D937D27403022D2E8F4FBCC4F9F24359CB784DBCC8A11578ADAC765CD077FE1h9X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36E64EFB6AC62257914BB073F0D1EE4C535D9E72D0A304B5FF65091FS2K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Верзун</dc:creator>
  <cp:lastModifiedBy>Веретенников Игорь Валерьевич</cp:lastModifiedBy>
  <cp:revision>2</cp:revision>
  <cp:lastPrinted>2017-06-15T11:46:00Z</cp:lastPrinted>
  <dcterms:created xsi:type="dcterms:W3CDTF">2017-06-16T10:05:00Z</dcterms:created>
  <dcterms:modified xsi:type="dcterms:W3CDTF">2017-06-16T10:05:00Z</dcterms:modified>
</cp:coreProperties>
</file>