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CB" w:rsidRPr="00854DEF" w:rsidRDefault="00E41332" w:rsidP="00E776E2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54DEF">
        <w:rPr>
          <w:b/>
          <w:sz w:val="27"/>
          <w:szCs w:val="27"/>
        </w:rPr>
        <w:t xml:space="preserve">Доклад </w:t>
      </w:r>
      <w:r w:rsidR="008A4897" w:rsidRPr="00854DEF">
        <w:rPr>
          <w:b/>
          <w:sz w:val="27"/>
          <w:szCs w:val="27"/>
        </w:rPr>
        <w:t>в рамк</w:t>
      </w:r>
      <w:r w:rsidR="009C3D74">
        <w:rPr>
          <w:b/>
          <w:sz w:val="27"/>
          <w:szCs w:val="27"/>
        </w:rPr>
        <w:t>ах проведения публичных обсуждений</w:t>
      </w:r>
      <w:r w:rsidR="008A4897" w:rsidRPr="00854DEF">
        <w:rPr>
          <w:b/>
          <w:sz w:val="27"/>
          <w:szCs w:val="27"/>
        </w:rPr>
        <w:t xml:space="preserve"> результатов правоприменительной практики Управления Федеральной антимонопольной службы</w:t>
      </w:r>
      <w:r w:rsidR="00D86575" w:rsidRPr="00854DEF">
        <w:rPr>
          <w:b/>
          <w:sz w:val="27"/>
          <w:szCs w:val="27"/>
        </w:rPr>
        <w:t xml:space="preserve"> по Тюменской области </w:t>
      </w:r>
    </w:p>
    <w:p w:rsidR="00E41332" w:rsidRPr="00B6708C" w:rsidRDefault="00E41332" w:rsidP="00E776E2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54DEF">
        <w:rPr>
          <w:b/>
          <w:sz w:val="27"/>
          <w:szCs w:val="27"/>
        </w:rPr>
        <w:t xml:space="preserve">«Практика по </w:t>
      </w:r>
      <w:proofErr w:type="gramStart"/>
      <w:r w:rsidRPr="00854DEF">
        <w:rPr>
          <w:b/>
          <w:sz w:val="27"/>
          <w:szCs w:val="27"/>
        </w:rPr>
        <w:t xml:space="preserve">контролю </w:t>
      </w:r>
      <w:r w:rsidR="009C3D74">
        <w:rPr>
          <w:b/>
          <w:sz w:val="27"/>
          <w:szCs w:val="27"/>
        </w:rPr>
        <w:t>за</w:t>
      </w:r>
      <w:proofErr w:type="gramEnd"/>
      <w:r w:rsidR="009C3D74">
        <w:rPr>
          <w:b/>
          <w:sz w:val="27"/>
          <w:szCs w:val="27"/>
        </w:rPr>
        <w:t xml:space="preserve"> соблюдением </w:t>
      </w:r>
      <w:r w:rsidR="00925B18" w:rsidRPr="00854DEF">
        <w:rPr>
          <w:b/>
          <w:sz w:val="27"/>
          <w:szCs w:val="27"/>
        </w:rPr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="009C3D74">
        <w:rPr>
          <w:b/>
          <w:sz w:val="27"/>
          <w:szCs w:val="27"/>
        </w:rPr>
        <w:t>в</w:t>
      </w:r>
      <w:r w:rsidR="00B6708C">
        <w:rPr>
          <w:b/>
          <w:sz w:val="27"/>
          <w:szCs w:val="27"/>
        </w:rPr>
        <w:t xml:space="preserve"> </w:t>
      </w:r>
      <w:r w:rsidR="00711D06">
        <w:rPr>
          <w:b/>
          <w:sz w:val="27"/>
          <w:szCs w:val="27"/>
        </w:rPr>
        <w:t>2017 году</w:t>
      </w:r>
      <w:r w:rsidR="006A6840">
        <w:rPr>
          <w:b/>
          <w:sz w:val="27"/>
          <w:szCs w:val="27"/>
        </w:rPr>
        <w:t>»</w:t>
      </w:r>
    </w:p>
    <w:p w:rsidR="001F339C" w:rsidRPr="00854DEF" w:rsidRDefault="001F339C" w:rsidP="00854DEF">
      <w:pPr>
        <w:jc w:val="both"/>
        <w:rPr>
          <w:sz w:val="27"/>
          <w:szCs w:val="27"/>
        </w:rPr>
      </w:pPr>
    </w:p>
    <w:p w:rsidR="00B24252" w:rsidRPr="00F142CC" w:rsidRDefault="00B24252" w:rsidP="005407D7">
      <w:pPr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B24252" w:rsidRPr="006A6840" w:rsidRDefault="00E776E2" w:rsidP="00F142CC">
      <w:pPr>
        <w:pStyle w:val="aa"/>
        <w:ind w:firstLine="709"/>
        <w:jc w:val="both"/>
        <w:rPr>
          <w:sz w:val="28"/>
          <w:szCs w:val="28"/>
        </w:rPr>
      </w:pPr>
      <w:proofErr w:type="gramStart"/>
      <w:r w:rsidRPr="006A6840">
        <w:rPr>
          <w:sz w:val="28"/>
          <w:szCs w:val="28"/>
        </w:rPr>
        <w:t>В соответствии с предоставленными полномочиями в рамках контроля за соблюдением законодательства  о контрактной системе в сфере закупок товаров, работ, услуг территориальные органы ФАС России   осуществляют плановые и внеплановые проверки, рассмотрение поступивших жалоб   и обращений заказчиков о включении сведений о недобросовестных поставщиках  в реестр недобросовестных поставщиков, а также привлекают к административной ответственности за выявленные нарушения в сфере законодательства о контрактной системе</w:t>
      </w:r>
      <w:proofErr w:type="gramEnd"/>
      <w:r w:rsidRPr="006A6840">
        <w:rPr>
          <w:sz w:val="28"/>
          <w:szCs w:val="28"/>
        </w:rPr>
        <w:t xml:space="preserve"> в рамках предоставленных полномочий.</w:t>
      </w:r>
    </w:p>
    <w:p w:rsidR="00E776E2" w:rsidRPr="006A6840" w:rsidRDefault="00F142CC" w:rsidP="00E776E2">
      <w:pPr>
        <w:pStyle w:val="aa"/>
        <w:ind w:firstLine="709"/>
        <w:jc w:val="both"/>
        <w:rPr>
          <w:bCs/>
          <w:color w:val="000000"/>
          <w:sz w:val="28"/>
          <w:szCs w:val="28"/>
        </w:rPr>
      </w:pPr>
      <w:r w:rsidRPr="006A6840">
        <w:rPr>
          <w:bCs/>
          <w:color w:val="000000"/>
          <w:sz w:val="28"/>
          <w:szCs w:val="28"/>
        </w:rPr>
        <w:t>В</w:t>
      </w:r>
      <w:r w:rsidR="00E776E2" w:rsidRPr="006A6840">
        <w:rPr>
          <w:bCs/>
          <w:color w:val="000000"/>
          <w:sz w:val="28"/>
          <w:szCs w:val="28"/>
        </w:rPr>
        <w:t xml:space="preserve"> 2017 году (</w:t>
      </w:r>
      <w:r w:rsidRPr="006A6840">
        <w:rPr>
          <w:bCs/>
          <w:color w:val="000000"/>
          <w:sz w:val="28"/>
          <w:szCs w:val="28"/>
        </w:rPr>
        <w:t>по ноябрь</w:t>
      </w:r>
      <w:r w:rsidR="00E776E2" w:rsidRPr="006A6840">
        <w:rPr>
          <w:bCs/>
          <w:color w:val="000000"/>
          <w:sz w:val="28"/>
          <w:szCs w:val="28"/>
        </w:rPr>
        <w:t xml:space="preserve"> 2017 г.) в </w:t>
      </w:r>
      <w:proofErr w:type="gramStart"/>
      <w:r w:rsidR="00E776E2" w:rsidRPr="006A6840">
        <w:rPr>
          <w:bCs/>
          <w:color w:val="000000"/>
          <w:sz w:val="28"/>
          <w:szCs w:val="28"/>
        </w:rPr>
        <w:t>Тюменское</w:t>
      </w:r>
      <w:proofErr w:type="gramEnd"/>
      <w:r w:rsidR="00E776E2" w:rsidRPr="006A6840">
        <w:rPr>
          <w:bCs/>
          <w:color w:val="000000"/>
          <w:sz w:val="28"/>
          <w:szCs w:val="28"/>
        </w:rPr>
        <w:t xml:space="preserve"> УФАС России поступило 411 жалоб </w:t>
      </w:r>
      <w:r w:rsidR="00E776E2" w:rsidRPr="006A6840">
        <w:rPr>
          <w:rFonts w:eastAsia="Cambria"/>
          <w:sz w:val="28"/>
          <w:szCs w:val="28"/>
          <w:lang w:eastAsia="en-US"/>
        </w:rPr>
        <w:t xml:space="preserve">на действия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осуществлении закупок в соответствии с требованиями Закона о контрактной системе. </w:t>
      </w:r>
    </w:p>
    <w:p w:rsidR="00F142CC" w:rsidRPr="006A6840" w:rsidRDefault="00F142CC" w:rsidP="00E776E2">
      <w:pPr>
        <w:shd w:val="clear" w:color="auto" w:fill="FFFFFF"/>
        <w:ind w:firstLine="709"/>
        <w:contextualSpacing/>
        <w:jc w:val="both"/>
        <w:rPr>
          <w:rFonts w:eastAsia="Cambria"/>
          <w:szCs w:val="28"/>
          <w:lang w:eastAsia="en-US"/>
        </w:rPr>
      </w:pPr>
      <w:r w:rsidRPr="006A6840">
        <w:rPr>
          <w:rFonts w:eastAsia="Cambria"/>
          <w:szCs w:val="28"/>
          <w:lang w:eastAsia="en-US"/>
        </w:rPr>
        <w:t>Из поступивших жалоб:</w:t>
      </w:r>
    </w:p>
    <w:p w:rsidR="00F142CC" w:rsidRPr="006A6840" w:rsidRDefault="00E776E2" w:rsidP="00E776E2">
      <w:pPr>
        <w:shd w:val="clear" w:color="auto" w:fill="FFFFFF"/>
        <w:ind w:firstLine="709"/>
        <w:contextualSpacing/>
        <w:jc w:val="both"/>
        <w:rPr>
          <w:rFonts w:eastAsia="Cambria"/>
          <w:spacing w:val="-6"/>
          <w:szCs w:val="28"/>
          <w:lang w:eastAsia="en-US"/>
        </w:rPr>
      </w:pPr>
      <w:r w:rsidRPr="006A6840">
        <w:rPr>
          <w:rFonts w:eastAsia="Cambria"/>
          <w:szCs w:val="28"/>
          <w:lang w:eastAsia="en-US"/>
        </w:rPr>
        <w:t xml:space="preserve"> </w:t>
      </w:r>
      <w:proofErr w:type="gramStart"/>
      <w:r w:rsidRPr="006A6840">
        <w:rPr>
          <w:rFonts w:eastAsia="Cambria"/>
          <w:szCs w:val="28"/>
          <w:lang w:eastAsia="en-US"/>
        </w:rPr>
        <w:t xml:space="preserve">81 поданы в </w:t>
      </w:r>
      <w:r w:rsidRPr="006A6840">
        <w:rPr>
          <w:rFonts w:eastAsia="Cambria"/>
          <w:spacing w:val="-6"/>
          <w:szCs w:val="28"/>
          <w:lang w:eastAsia="en-US"/>
        </w:rPr>
        <w:t xml:space="preserve">отношении закупок, осуществляемых для обеспечения федеральных нужд (рассмотрено 63, из них 34 признаны необоснованными), </w:t>
      </w:r>
      <w:proofErr w:type="gramEnd"/>
    </w:p>
    <w:p w:rsidR="00F142CC" w:rsidRPr="006A6840" w:rsidRDefault="00E776E2" w:rsidP="00E776E2">
      <w:pPr>
        <w:shd w:val="clear" w:color="auto" w:fill="FFFFFF"/>
        <w:ind w:firstLine="709"/>
        <w:contextualSpacing/>
        <w:jc w:val="both"/>
        <w:rPr>
          <w:rFonts w:eastAsia="Cambria"/>
          <w:spacing w:val="-6"/>
          <w:szCs w:val="28"/>
          <w:lang w:eastAsia="en-US"/>
        </w:rPr>
      </w:pPr>
      <w:proofErr w:type="gramStart"/>
      <w:r w:rsidRPr="006A6840">
        <w:rPr>
          <w:rFonts w:eastAsia="Cambria"/>
          <w:spacing w:val="-6"/>
          <w:szCs w:val="28"/>
          <w:lang w:eastAsia="en-US"/>
        </w:rPr>
        <w:t xml:space="preserve">122 – </w:t>
      </w:r>
      <w:r w:rsidRPr="006A6840">
        <w:rPr>
          <w:rFonts w:eastAsia="Cambria"/>
          <w:szCs w:val="28"/>
          <w:lang w:eastAsia="en-US"/>
        </w:rPr>
        <w:t xml:space="preserve">для нужд субъектов Российской Федерации </w:t>
      </w:r>
      <w:r w:rsidRPr="006A6840">
        <w:rPr>
          <w:rFonts w:eastAsia="Cambria"/>
          <w:spacing w:val="-6"/>
          <w:szCs w:val="28"/>
          <w:lang w:eastAsia="en-US"/>
        </w:rPr>
        <w:t xml:space="preserve">(рассмотрено 86, из них 62 признаны необоснованными), </w:t>
      </w:r>
      <w:proofErr w:type="gramEnd"/>
    </w:p>
    <w:p w:rsidR="00E776E2" w:rsidRPr="006A6840" w:rsidRDefault="00E776E2" w:rsidP="00E776E2">
      <w:pPr>
        <w:shd w:val="clear" w:color="auto" w:fill="FFFFFF"/>
        <w:ind w:firstLine="709"/>
        <w:contextualSpacing/>
        <w:jc w:val="both"/>
        <w:rPr>
          <w:rFonts w:eastAsia="Cambria"/>
          <w:szCs w:val="28"/>
          <w:lang w:eastAsia="en-US"/>
        </w:rPr>
      </w:pPr>
      <w:proofErr w:type="gramStart"/>
      <w:r w:rsidRPr="006A6840">
        <w:rPr>
          <w:rFonts w:eastAsia="Cambria"/>
          <w:spacing w:val="-6"/>
          <w:szCs w:val="28"/>
          <w:lang w:eastAsia="en-US"/>
        </w:rPr>
        <w:t>208</w:t>
      </w:r>
      <w:r w:rsidRPr="006A6840">
        <w:rPr>
          <w:rFonts w:eastAsia="Cambria"/>
          <w:szCs w:val="28"/>
          <w:lang w:eastAsia="en-US"/>
        </w:rPr>
        <w:t xml:space="preserve"> для муниципальных нужд </w:t>
      </w:r>
      <w:r w:rsidRPr="006A6840">
        <w:rPr>
          <w:rFonts w:eastAsia="Cambria"/>
          <w:spacing w:val="-6"/>
          <w:szCs w:val="28"/>
          <w:lang w:eastAsia="en-US"/>
        </w:rPr>
        <w:t>(рассмотрено 145, из них 114 признаны необоснованными)</w:t>
      </w:r>
      <w:proofErr w:type="gramEnd"/>
    </w:p>
    <w:p w:rsidR="00F142CC" w:rsidRPr="006A6840" w:rsidRDefault="00F142CC" w:rsidP="00F142CC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6A6840">
        <w:rPr>
          <w:color w:val="000000" w:themeColor="text1"/>
          <w:sz w:val="28"/>
          <w:szCs w:val="28"/>
        </w:rPr>
        <w:t>По результатам ра</w:t>
      </w:r>
      <w:r w:rsidRPr="006A6840">
        <w:rPr>
          <w:color w:val="000000" w:themeColor="text1"/>
          <w:sz w:val="28"/>
          <w:szCs w:val="28"/>
        </w:rPr>
        <w:t>ссмотрения таких жалоб были выявлены</w:t>
      </w:r>
      <w:r w:rsidRPr="006A6840">
        <w:rPr>
          <w:color w:val="000000" w:themeColor="text1"/>
          <w:sz w:val="28"/>
          <w:szCs w:val="28"/>
        </w:rPr>
        <w:t xml:space="preserve"> нарушения требований Закона о контрактной системе,  которые в большинстве своем касаются   порядка отбора участников закупки;  описания объекта закупки;  содержания документации о закупке, а также размещения информации на официальном сайте закупок.</w:t>
      </w:r>
    </w:p>
    <w:p w:rsidR="00E776E2" w:rsidRPr="006A6840" w:rsidRDefault="00E776E2" w:rsidP="00E776E2">
      <w:pPr>
        <w:ind w:firstLine="709"/>
        <w:contextualSpacing/>
        <w:jc w:val="both"/>
        <w:rPr>
          <w:rFonts w:eastAsia="Cambria"/>
          <w:szCs w:val="28"/>
          <w:lang w:eastAsia="en-US"/>
        </w:rPr>
      </w:pPr>
      <w:r w:rsidRPr="006A6840">
        <w:rPr>
          <w:rFonts w:eastAsia="Cambria"/>
          <w:szCs w:val="28"/>
          <w:lang w:eastAsia="en-US"/>
        </w:rPr>
        <w:t xml:space="preserve">В результате рассмотрения жалоб выдано 60 предписаний об устранении выявленных нарушений законодательства Российской Федерации о контрактной системе в сфере закупок, которые были исполнены подконтрольными субъектами </w:t>
      </w:r>
      <w:r w:rsidRPr="006A6840">
        <w:rPr>
          <w:szCs w:val="28"/>
        </w:rPr>
        <w:t>в полном объеме и в установленные сроки.</w:t>
      </w:r>
    </w:p>
    <w:p w:rsidR="00E776E2" w:rsidRPr="006A6840" w:rsidRDefault="00E776E2" w:rsidP="00E776E2">
      <w:pPr>
        <w:pStyle w:val="aa"/>
        <w:ind w:firstLine="709"/>
        <w:jc w:val="both"/>
        <w:rPr>
          <w:bCs/>
          <w:color w:val="000000"/>
          <w:sz w:val="28"/>
          <w:szCs w:val="28"/>
        </w:rPr>
      </w:pPr>
      <w:r w:rsidRPr="006A6840">
        <w:rPr>
          <w:bCs/>
          <w:color w:val="000000"/>
          <w:sz w:val="28"/>
          <w:szCs w:val="28"/>
        </w:rPr>
        <w:t xml:space="preserve">Также в указанный период на основании обращений, содержащих признаки нарушения </w:t>
      </w:r>
      <w:r w:rsidRPr="006A6840">
        <w:rPr>
          <w:color w:val="000000"/>
          <w:sz w:val="28"/>
          <w:szCs w:val="28"/>
        </w:rPr>
        <w:t xml:space="preserve">законодательства о </w:t>
      </w:r>
      <w:r w:rsidRPr="006A6840">
        <w:rPr>
          <w:bCs/>
          <w:color w:val="000000"/>
          <w:sz w:val="28"/>
          <w:szCs w:val="28"/>
        </w:rPr>
        <w:t xml:space="preserve">контрактной системе в сфере закупок товаров, работ, услуг контрольным органом осуществлено 7 внеплановых проверок, во всех случаях выявлены </w:t>
      </w:r>
      <w:r w:rsidR="00F142CC" w:rsidRPr="006A6840">
        <w:rPr>
          <w:bCs/>
          <w:color w:val="000000"/>
          <w:sz w:val="28"/>
          <w:szCs w:val="28"/>
        </w:rPr>
        <w:t>нарушения, выдано 5 предписаний.</w:t>
      </w:r>
    </w:p>
    <w:p w:rsidR="00F142CC" w:rsidRPr="006A6840" w:rsidRDefault="00F142CC" w:rsidP="00E776E2">
      <w:pPr>
        <w:pStyle w:val="aa"/>
        <w:ind w:firstLine="709"/>
        <w:jc w:val="both"/>
        <w:rPr>
          <w:bCs/>
          <w:color w:val="000000"/>
          <w:sz w:val="28"/>
          <w:szCs w:val="28"/>
        </w:rPr>
      </w:pPr>
    </w:p>
    <w:p w:rsidR="006A6840" w:rsidRDefault="006A6840" w:rsidP="00E776E2">
      <w:pPr>
        <w:ind w:firstLine="709"/>
        <w:jc w:val="both"/>
        <w:rPr>
          <w:szCs w:val="28"/>
        </w:rPr>
      </w:pPr>
    </w:p>
    <w:p w:rsidR="006A6840" w:rsidRPr="007F2AD9" w:rsidRDefault="006A6840" w:rsidP="00E776E2">
      <w:pPr>
        <w:ind w:firstLine="709"/>
        <w:jc w:val="both"/>
        <w:rPr>
          <w:sz w:val="16"/>
          <w:szCs w:val="16"/>
        </w:rPr>
      </w:pPr>
    </w:p>
    <w:p w:rsidR="00F142CC" w:rsidRPr="006A6840" w:rsidRDefault="00E776E2" w:rsidP="006A6840">
      <w:pPr>
        <w:ind w:firstLine="709"/>
        <w:jc w:val="both"/>
        <w:rPr>
          <w:szCs w:val="28"/>
        </w:rPr>
      </w:pPr>
      <w:r w:rsidRPr="006A6840">
        <w:rPr>
          <w:szCs w:val="28"/>
        </w:rPr>
        <w:lastRenderedPageBreak/>
        <w:t>В 2017 году в отношении должностных лиц заказчиков, в том числе членов комиссий, работников контрактных служб, кон</w:t>
      </w:r>
      <w:r w:rsidR="007F2AD9">
        <w:rPr>
          <w:szCs w:val="28"/>
        </w:rPr>
        <w:t>трактных управляющих вынесено 169 постановлений</w:t>
      </w:r>
      <w:r w:rsidRPr="006A6840">
        <w:rPr>
          <w:szCs w:val="28"/>
        </w:rPr>
        <w:t xml:space="preserve"> о назначении административных наказаний за нарушение  законодательства о контрактной системе в сфере закупок товаров работ, услуг для государственных и муниципальных нужд по статьям  7.29.-7.32. КоАП РФ. Всего наложено административных штрафов на сумму </w:t>
      </w:r>
      <w:r w:rsidR="007F2AD9">
        <w:rPr>
          <w:szCs w:val="28"/>
        </w:rPr>
        <w:t>2 054 600</w:t>
      </w:r>
      <w:r w:rsidRPr="006A6840">
        <w:rPr>
          <w:szCs w:val="28"/>
        </w:rPr>
        <w:t xml:space="preserve"> рублей. </w:t>
      </w:r>
    </w:p>
    <w:p w:rsidR="001427D0" w:rsidRPr="006A6840" w:rsidRDefault="00F142CC" w:rsidP="001427D0">
      <w:pPr>
        <w:pStyle w:val="aa"/>
        <w:ind w:firstLine="709"/>
        <w:jc w:val="both"/>
        <w:rPr>
          <w:sz w:val="28"/>
          <w:szCs w:val="28"/>
        </w:rPr>
      </w:pPr>
      <w:r w:rsidRPr="006A6840">
        <w:rPr>
          <w:sz w:val="28"/>
          <w:szCs w:val="28"/>
        </w:rPr>
        <w:t xml:space="preserve">Наиболее частыми нарушениями, </w:t>
      </w:r>
      <w:r w:rsidR="001427D0" w:rsidRPr="006A6840">
        <w:rPr>
          <w:sz w:val="28"/>
          <w:szCs w:val="28"/>
        </w:rPr>
        <w:t xml:space="preserve">допускаемыми заказчиками (уполномоченными органами), их комиссиями по осуществлению закупок </w:t>
      </w:r>
      <w:r w:rsidRPr="006A6840">
        <w:rPr>
          <w:sz w:val="28"/>
          <w:szCs w:val="28"/>
        </w:rPr>
        <w:t>по-прежнему являются следующие:</w:t>
      </w:r>
    </w:p>
    <w:p w:rsidR="001427D0" w:rsidRPr="006A6840" w:rsidRDefault="001427D0" w:rsidP="001427D0">
      <w:pPr>
        <w:autoSpaceDE w:val="0"/>
        <w:autoSpaceDN w:val="0"/>
        <w:adjustRightInd w:val="0"/>
        <w:ind w:firstLine="539"/>
        <w:jc w:val="both"/>
        <w:rPr>
          <w:szCs w:val="28"/>
          <w:lang w:eastAsia="ar-SA"/>
        </w:rPr>
      </w:pPr>
      <w:r w:rsidRPr="006A6840">
        <w:rPr>
          <w:szCs w:val="28"/>
          <w:lang w:eastAsia="ar-SA"/>
        </w:rPr>
        <w:t>- составление документации (в частности, проектов контрактов, являющихся неотъемлемой частью документации) с нарушением законодательства Российской Федерации о контрактной системе.</w:t>
      </w:r>
    </w:p>
    <w:p w:rsidR="001427D0" w:rsidRPr="006A6840" w:rsidRDefault="001427D0" w:rsidP="001427D0">
      <w:pPr>
        <w:autoSpaceDE w:val="0"/>
        <w:autoSpaceDN w:val="0"/>
        <w:adjustRightInd w:val="0"/>
        <w:ind w:firstLine="539"/>
        <w:jc w:val="both"/>
        <w:rPr>
          <w:szCs w:val="28"/>
          <w:lang w:eastAsia="ar-SA"/>
        </w:rPr>
      </w:pPr>
      <w:r w:rsidRPr="006A6840">
        <w:rPr>
          <w:szCs w:val="28"/>
        </w:rPr>
        <w:t xml:space="preserve"> К таковым следует отнести, </w:t>
      </w:r>
      <w:r w:rsidRPr="006A6840">
        <w:rPr>
          <w:szCs w:val="28"/>
        </w:rPr>
        <w:t>отсутствие в проекте контракта  обязательного условия о порядке и сроках оплаты товара, работы или услуги, о порядке и сроках осуществления заказчиком приемки поставленного товара, выполненной работы или оказанной услуги, а также о порядке и сроках оформления результатов такой приемки.</w:t>
      </w:r>
    </w:p>
    <w:p w:rsidR="001427D0" w:rsidRPr="006A6840" w:rsidRDefault="001427D0" w:rsidP="001427D0">
      <w:pPr>
        <w:ind w:right="-1"/>
        <w:jc w:val="both"/>
        <w:rPr>
          <w:szCs w:val="28"/>
        </w:rPr>
      </w:pPr>
      <w:r w:rsidRPr="006A6840">
        <w:rPr>
          <w:szCs w:val="28"/>
        </w:rPr>
        <w:t xml:space="preserve">      - неверное (необъективное) описание объекта закупки, в </w:t>
      </w:r>
      <w:proofErr w:type="spellStart"/>
      <w:r w:rsidRPr="006A6840">
        <w:rPr>
          <w:szCs w:val="28"/>
        </w:rPr>
        <w:t>т.ч</w:t>
      </w:r>
      <w:proofErr w:type="spellEnd"/>
      <w:r w:rsidRPr="006A6840">
        <w:rPr>
          <w:szCs w:val="28"/>
        </w:rPr>
        <w:t>.  установление избыточных требований к работам (услугам);</w:t>
      </w:r>
    </w:p>
    <w:p w:rsidR="001427D0" w:rsidRPr="006A6840" w:rsidRDefault="001427D0" w:rsidP="001427D0">
      <w:pPr>
        <w:ind w:right="-1"/>
        <w:jc w:val="both"/>
        <w:rPr>
          <w:rFonts w:eastAsia="Cambria"/>
          <w:b/>
          <w:szCs w:val="28"/>
          <w:lang w:eastAsia="en-US"/>
        </w:rPr>
      </w:pPr>
      <w:r w:rsidRPr="006A6840">
        <w:rPr>
          <w:szCs w:val="28"/>
        </w:rPr>
        <w:t xml:space="preserve">          В качестве примера следует указать случаи </w:t>
      </w:r>
      <w:r w:rsidRPr="006A6840">
        <w:rPr>
          <w:rFonts w:eastAsia="Cambria"/>
          <w:szCs w:val="28"/>
          <w:lang w:eastAsia="en-US"/>
        </w:rPr>
        <w:t>установления в документации о закупке требований к описанию участниками закупок в составе своих заявок, помимо конкретных показателей товаров, конкретных показателей технологических процессов изготовления указанных товаров, результатов испытаний, химического состава товаров.</w:t>
      </w:r>
      <w:r w:rsidRPr="006A6840">
        <w:rPr>
          <w:szCs w:val="28"/>
          <w:lang w:eastAsia="en-US"/>
        </w:rPr>
        <w:t xml:space="preserve"> Требование об указании сведений о материалах, используемых при изготовлении товара, вынуждает участника заранее, на стадии подачи заявки, определить вещества, которые будут использованы производителем необходимого товара.</w:t>
      </w:r>
    </w:p>
    <w:p w:rsidR="001427D0" w:rsidRPr="006A6840" w:rsidRDefault="001427D0" w:rsidP="001427D0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6A6840">
        <w:rPr>
          <w:szCs w:val="28"/>
        </w:rPr>
        <w:t xml:space="preserve">  В итоге данные требования вызывают трудности по оформлению участниками заявок на участие в закупках, способствуют формированию формальных ошибок в подаваемых участниками заявках и как следствие, нежелание участников принимать участие в таких закупках, появлению обоснованных или необоснованных подозрений об умысле заказчиков ограничить круг</w:t>
      </w:r>
      <w:r w:rsidR="007F2AD9">
        <w:rPr>
          <w:szCs w:val="28"/>
        </w:rPr>
        <w:t xml:space="preserve"> участников в процедуре закупки</w:t>
      </w:r>
      <w:r w:rsidRPr="006A6840">
        <w:rPr>
          <w:szCs w:val="28"/>
        </w:rPr>
        <w:t>;</w:t>
      </w:r>
    </w:p>
    <w:p w:rsidR="001427D0" w:rsidRPr="006A6840" w:rsidRDefault="001427D0" w:rsidP="001427D0">
      <w:pPr>
        <w:pStyle w:val="aa"/>
        <w:ind w:firstLine="709"/>
        <w:jc w:val="both"/>
        <w:rPr>
          <w:sz w:val="28"/>
          <w:szCs w:val="28"/>
        </w:rPr>
      </w:pPr>
      <w:r w:rsidRPr="006A6840">
        <w:rPr>
          <w:sz w:val="28"/>
          <w:szCs w:val="28"/>
        </w:rPr>
        <w:t xml:space="preserve">- </w:t>
      </w:r>
      <w:r w:rsidRPr="006A6840">
        <w:rPr>
          <w:sz w:val="28"/>
          <w:szCs w:val="28"/>
        </w:rPr>
        <w:t xml:space="preserve">отсутствие надлежащим образом проработанных инструкций по заполнению заявок на участие в закупках; </w:t>
      </w:r>
    </w:p>
    <w:p w:rsidR="001427D0" w:rsidRPr="006A6840" w:rsidRDefault="001427D0" w:rsidP="001427D0">
      <w:pPr>
        <w:jc w:val="both"/>
        <w:rPr>
          <w:szCs w:val="28"/>
        </w:rPr>
      </w:pPr>
      <w:r w:rsidRPr="006A6840">
        <w:rPr>
          <w:szCs w:val="28"/>
        </w:rPr>
        <w:t xml:space="preserve">          - не применение ограничений, запретов и условий, установленных подзаконными актами (в части несоблюдения запретов, ограничений в отношении товаров, работ, услуг, происходящих из иностранных государств);</w:t>
      </w:r>
    </w:p>
    <w:p w:rsidR="001427D0" w:rsidRPr="006A6840" w:rsidRDefault="001427D0" w:rsidP="001427D0">
      <w:pPr>
        <w:widowControl w:val="0"/>
        <w:ind w:firstLine="709"/>
        <w:jc w:val="both"/>
        <w:rPr>
          <w:szCs w:val="28"/>
          <w:lang w:eastAsia="ar-SA"/>
        </w:rPr>
      </w:pPr>
      <w:r w:rsidRPr="006A6840">
        <w:rPr>
          <w:szCs w:val="28"/>
          <w:lang w:eastAsia="ar-SA"/>
        </w:rPr>
        <w:t xml:space="preserve">- действия заказчика, связанные с не допуском участников к участию в электронных аукционах (отклонение первых частей заявок). В большинстве случаев такая ситуация провоцируется самим заказчиком, когда в документации о закупке не указываются необходимые требования к поставляемым товарам или отсутствует надлежащая инструкция по составлению (оформлению) заявок на участие в закупке. </w:t>
      </w:r>
    </w:p>
    <w:p w:rsidR="001427D0" w:rsidRPr="006A6840" w:rsidRDefault="001427D0" w:rsidP="006A6840">
      <w:pPr>
        <w:pStyle w:val="aa"/>
        <w:jc w:val="both"/>
        <w:rPr>
          <w:sz w:val="28"/>
          <w:szCs w:val="28"/>
        </w:rPr>
      </w:pPr>
    </w:p>
    <w:p w:rsidR="00F142CC" w:rsidRPr="006A6840" w:rsidRDefault="001427D0" w:rsidP="00F142CC">
      <w:pPr>
        <w:pStyle w:val="aa"/>
        <w:ind w:firstLine="709"/>
        <w:jc w:val="both"/>
        <w:rPr>
          <w:sz w:val="28"/>
          <w:szCs w:val="28"/>
        </w:rPr>
      </w:pPr>
      <w:r w:rsidRPr="006A6840">
        <w:rPr>
          <w:sz w:val="28"/>
          <w:szCs w:val="28"/>
        </w:rPr>
        <w:t>Кроме того</w:t>
      </w:r>
      <w:r w:rsidR="00F142CC" w:rsidRPr="006A6840">
        <w:rPr>
          <w:sz w:val="28"/>
          <w:szCs w:val="28"/>
        </w:rPr>
        <w:t>, практика рассмотрения жалоб позволяет выделить определенные типичные нарушения требований действующего законодательства</w:t>
      </w:r>
      <w:r w:rsidRPr="006A6840">
        <w:rPr>
          <w:sz w:val="28"/>
          <w:szCs w:val="28"/>
        </w:rPr>
        <w:t xml:space="preserve"> о контрактной системе</w:t>
      </w:r>
      <w:r w:rsidR="00F142CC" w:rsidRPr="006A6840">
        <w:rPr>
          <w:sz w:val="28"/>
          <w:szCs w:val="28"/>
        </w:rPr>
        <w:t>, которые  допускаются участниками закупок, и, как следствие,  исключают их возможность конкурировать с остальными участниками за право заключить контракт.</w:t>
      </w:r>
    </w:p>
    <w:p w:rsidR="00F142CC" w:rsidRPr="006A6840" w:rsidRDefault="00F142CC" w:rsidP="00F142CC">
      <w:pPr>
        <w:pStyle w:val="aa"/>
        <w:ind w:firstLine="709"/>
        <w:jc w:val="both"/>
        <w:rPr>
          <w:sz w:val="28"/>
          <w:szCs w:val="28"/>
        </w:rPr>
      </w:pPr>
      <w:r w:rsidRPr="006A6840">
        <w:rPr>
          <w:sz w:val="28"/>
          <w:szCs w:val="28"/>
        </w:rPr>
        <w:t xml:space="preserve">Так, например, при подаче заявки на участие в закупке допускаются следующие нарушения, которые влекут </w:t>
      </w:r>
      <w:r w:rsidR="007F2AD9">
        <w:rPr>
          <w:sz w:val="28"/>
          <w:szCs w:val="28"/>
        </w:rPr>
        <w:t>последующее</w:t>
      </w:r>
      <w:r w:rsidRPr="006A6840">
        <w:rPr>
          <w:sz w:val="28"/>
          <w:szCs w:val="28"/>
        </w:rPr>
        <w:t xml:space="preserve"> отклонение заявки:</w:t>
      </w:r>
    </w:p>
    <w:p w:rsidR="00F142CC" w:rsidRPr="006A6840" w:rsidRDefault="00F142CC" w:rsidP="00F142CC">
      <w:pPr>
        <w:pStyle w:val="aa"/>
        <w:ind w:firstLine="709"/>
        <w:jc w:val="both"/>
        <w:rPr>
          <w:sz w:val="28"/>
          <w:szCs w:val="28"/>
        </w:rPr>
      </w:pPr>
      <w:r w:rsidRPr="006A6840">
        <w:rPr>
          <w:sz w:val="28"/>
          <w:szCs w:val="28"/>
        </w:rPr>
        <w:t xml:space="preserve">1) отсутствие в составе заявки страны происхождения товара; показателей, требующихся заказчику в соответствии с документацией о закупке, или их несоответствие заявленным требованиям или национальным стандартам, техническим регламентам; </w:t>
      </w:r>
    </w:p>
    <w:p w:rsidR="00F142CC" w:rsidRPr="006A6840" w:rsidRDefault="00F142CC" w:rsidP="00F142CC">
      <w:pPr>
        <w:pStyle w:val="aa"/>
        <w:ind w:firstLine="709"/>
        <w:jc w:val="both"/>
        <w:rPr>
          <w:sz w:val="28"/>
          <w:szCs w:val="28"/>
        </w:rPr>
      </w:pPr>
      <w:r w:rsidRPr="006A6840">
        <w:rPr>
          <w:sz w:val="28"/>
          <w:szCs w:val="28"/>
        </w:rPr>
        <w:t>2) отсутствие в составе заявки декларации о соответствии участника закупки единым требованиям, предусмотренным пунктами 7, 7.1 части 1 статьи 31 Закона о контрактной системе;</w:t>
      </w:r>
    </w:p>
    <w:p w:rsidR="00F142CC" w:rsidRPr="006A6840" w:rsidRDefault="00F142CC" w:rsidP="00F142CC">
      <w:pPr>
        <w:pStyle w:val="aa"/>
        <w:ind w:firstLine="709"/>
        <w:jc w:val="both"/>
        <w:rPr>
          <w:sz w:val="28"/>
          <w:szCs w:val="28"/>
        </w:rPr>
      </w:pPr>
      <w:proofErr w:type="gramStart"/>
      <w:r w:rsidRPr="006A6840">
        <w:rPr>
          <w:sz w:val="28"/>
          <w:szCs w:val="28"/>
        </w:rPr>
        <w:t>3) отсутствие с составе заявки документов, подтверждающих соответствие участника закупки дополнительным требованиям, устанавливаемых заказчиками в соответствии с частью 2 статьи 31 Закона о контрактной системе, Постановлением Правительства РФ от 04.02.2015 № 99, а также представление документов не в полном объеме (например, контракты (договора) без приложений);</w:t>
      </w:r>
      <w:proofErr w:type="gramEnd"/>
    </w:p>
    <w:p w:rsidR="00F142CC" w:rsidRPr="006A6840" w:rsidRDefault="00F142CC" w:rsidP="00F142CC">
      <w:pPr>
        <w:pStyle w:val="aa"/>
        <w:ind w:firstLine="709"/>
        <w:jc w:val="both"/>
        <w:rPr>
          <w:sz w:val="28"/>
          <w:szCs w:val="28"/>
        </w:rPr>
      </w:pPr>
      <w:r w:rsidRPr="006A6840">
        <w:rPr>
          <w:sz w:val="28"/>
          <w:szCs w:val="28"/>
        </w:rPr>
        <w:t>4) отсутствие в составе заявки выписки, выданной саморегулируемой организацией, подтверждающей членство участника закупки в такой организации, за исключением случаях, указанных в статьях 48,52 Градостроительного кодекса Российской Федерации;</w:t>
      </w:r>
    </w:p>
    <w:p w:rsidR="001427D0" w:rsidRPr="006A6840" w:rsidRDefault="001427D0" w:rsidP="001427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840">
        <w:rPr>
          <w:szCs w:val="28"/>
        </w:rPr>
        <w:t xml:space="preserve"> </w:t>
      </w:r>
      <w:r w:rsidR="00F142CC" w:rsidRPr="006A6840">
        <w:rPr>
          <w:szCs w:val="28"/>
        </w:rPr>
        <w:t xml:space="preserve">5) отсутствие в составе заявки </w:t>
      </w:r>
      <w:r w:rsidRPr="006A6840">
        <w:rPr>
          <w:szCs w:val="28"/>
        </w:rPr>
        <w:t xml:space="preserve">документов (или их копий), подтверждающих </w:t>
      </w:r>
      <w:r w:rsidRPr="006A6840">
        <w:rPr>
          <w:szCs w:val="28"/>
        </w:rPr>
        <w:t xml:space="preserve">соответствие участника такого аукциона и (или) предлагаемых им товара, работы или услуги условиям, запретам и ограничениям, установленным заказчиком в соответствии со </w:t>
      </w:r>
      <w:hyperlink r:id="rId6" w:history="1">
        <w:r w:rsidRPr="006A6840">
          <w:rPr>
            <w:szCs w:val="28"/>
          </w:rPr>
          <w:t>статьей 14</w:t>
        </w:r>
      </w:hyperlink>
      <w:r w:rsidRPr="006A6840">
        <w:rPr>
          <w:szCs w:val="28"/>
        </w:rPr>
        <w:t xml:space="preserve"> Закона №44-ФЗ</w:t>
      </w:r>
      <w:r w:rsidRPr="006A6840">
        <w:rPr>
          <w:szCs w:val="28"/>
        </w:rPr>
        <w:t>.</w:t>
      </w:r>
    </w:p>
    <w:p w:rsidR="00E776E2" w:rsidRPr="006A6840" w:rsidRDefault="00E776E2" w:rsidP="00617389">
      <w:pPr>
        <w:autoSpaceDE w:val="0"/>
        <w:autoSpaceDN w:val="0"/>
        <w:adjustRightInd w:val="0"/>
        <w:jc w:val="both"/>
        <w:rPr>
          <w:rFonts w:eastAsia="MS Mincho"/>
          <w:szCs w:val="28"/>
        </w:rPr>
      </w:pPr>
    </w:p>
    <w:p w:rsidR="00F142CC" w:rsidRPr="006A6840" w:rsidRDefault="00F142CC" w:rsidP="00F142CC">
      <w:pPr>
        <w:ind w:firstLine="709"/>
        <w:contextualSpacing/>
        <w:jc w:val="both"/>
        <w:rPr>
          <w:rFonts w:eastAsia="Cambria"/>
          <w:szCs w:val="28"/>
          <w:lang w:eastAsia="en-US"/>
        </w:rPr>
      </w:pPr>
      <w:r w:rsidRPr="006A6840">
        <w:rPr>
          <w:rFonts w:eastAsia="Cambria"/>
          <w:szCs w:val="28"/>
          <w:lang w:eastAsia="en-US"/>
        </w:rPr>
        <w:t xml:space="preserve">Кроме того, </w:t>
      </w:r>
      <w:r w:rsidRPr="006A6840">
        <w:rPr>
          <w:rFonts w:eastAsia="Cambria"/>
          <w:szCs w:val="28"/>
          <w:lang w:eastAsia="en-US"/>
        </w:rPr>
        <w:t>ФАС России осуществляется ведение реестра недобросовестных поставщиков, в соответствии с постановлением Правительства Российской Федерации от 25.11.2013 № 1062 «О порядке ведения реестра недобросовестных поставщиков (подрядчиков, исполнителей)».</w:t>
      </w:r>
    </w:p>
    <w:p w:rsidR="00F142CC" w:rsidRPr="00F142CC" w:rsidRDefault="00F142CC" w:rsidP="00F142CC">
      <w:pPr>
        <w:jc w:val="both"/>
        <w:rPr>
          <w:i/>
          <w:szCs w:val="28"/>
        </w:rPr>
      </w:pPr>
      <w:r w:rsidRPr="006A6840">
        <w:rPr>
          <w:szCs w:val="28"/>
        </w:rPr>
        <w:t xml:space="preserve">         З</w:t>
      </w:r>
      <w:r w:rsidRPr="00F142CC">
        <w:rPr>
          <w:szCs w:val="28"/>
        </w:rPr>
        <w:t>а текущий период</w:t>
      </w:r>
      <w:r w:rsidRPr="00F142CC">
        <w:rPr>
          <w:b/>
          <w:szCs w:val="28"/>
        </w:rPr>
        <w:t xml:space="preserve">  </w:t>
      </w:r>
      <w:r w:rsidRPr="00F142CC">
        <w:rPr>
          <w:szCs w:val="28"/>
        </w:rPr>
        <w:t xml:space="preserve">(с 01.01.2017 по 01.12.2017 г.) Тюменским УФАС России рассмотрено всего </w:t>
      </w:r>
      <w:r w:rsidRPr="00F142CC">
        <w:rPr>
          <w:b/>
          <w:szCs w:val="28"/>
        </w:rPr>
        <w:t>114</w:t>
      </w:r>
      <w:r w:rsidRPr="00F142CC">
        <w:rPr>
          <w:szCs w:val="28"/>
        </w:rPr>
        <w:t xml:space="preserve"> обращений о включении в реестр недобросовестных поставщиков.</w:t>
      </w:r>
    </w:p>
    <w:p w:rsidR="00F142CC" w:rsidRPr="00F142CC" w:rsidRDefault="00F142CC" w:rsidP="00F142CC">
      <w:pPr>
        <w:ind w:firstLine="709"/>
        <w:jc w:val="both"/>
        <w:rPr>
          <w:szCs w:val="28"/>
        </w:rPr>
      </w:pPr>
      <w:r w:rsidRPr="00F142CC">
        <w:rPr>
          <w:szCs w:val="28"/>
        </w:rPr>
        <w:t xml:space="preserve">По результатам их рассмотрения Тюменским УФАС России, в реестр недобросовестных поставщиков внесены сведения о </w:t>
      </w:r>
      <w:r w:rsidRPr="00F142CC">
        <w:rPr>
          <w:b/>
          <w:szCs w:val="28"/>
        </w:rPr>
        <w:t>83</w:t>
      </w:r>
      <w:r w:rsidRPr="00F142CC">
        <w:rPr>
          <w:szCs w:val="28"/>
        </w:rPr>
        <w:t xml:space="preserve"> участниках закупок (подрядчиков, исполнителей, поставщиков).</w:t>
      </w:r>
    </w:p>
    <w:p w:rsidR="006A6840" w:rsidRPr="007F2AD9" w:rsidRDefault="00F142CC" w:rsidP="007F2AD9">
      <w:pPr>
        <w:ind w:firstLine="709"/>
        <w:jc w:val="both"/>
        <w:rPr>
          <w:sz w:val="16"/>
          <w:szCs w:val="16"/>
        </w:rPr>
      </w:pPr>
      <w:r w:rsidRPr="00F142CC">
        <w:rPr>
          <w:szCs w:val="28"/>
        </w:rPr>
        <w:t xml:space="preserve"> </w:t>
      </w:r>
    </w:p>
    <w:p w:rsidR="00F142CC" w:rsidRPr="00F142CC" w:rsidRDefault="00F142CC" w:rsidP="00F142CC">
      <w:pPr>
        <w:ind w:firstLine="709"/>
        <w:jc w:val="both"/>
        <w:rPr>
          <w:szCs w:val="28"/>
        </w:rPr>
      </w:pPr>
      <w:r w:rsidRPr="00F142CC">
        <w:rPr>
          <w:szCs w:val="28"/>
        </w:rPr>
        <w:t xml:space="preserve">В отношении </w:t>
      </w:r>
      <w:r w:rsidRPr="00F142CC">
        <w:rPr>
          <w:b/>
          <w:szCs w:val="28"/>
        </w:rPr>
        <w:t>24</w:t>
      </w:r>
      <w:r w:rsidRPr="00F142CC">
        <w:rPr>
          <w:szCs w:val="28"/>
        </w:rPr>
        <w:t xml:space="preserve"> хозяйствующих субъектов принято решение </w:t>
      </w:r>
      <w:proofErr w:type="gramStart"/>
      <w:r w:rsidRPr="00F142CC">
        <w:rPr>
          <w:szCs w:val="28"/>
        </w:rPr>
        <w:t>о включении в реестр недобросовестных поставщиков в связи расторжением с ним контрактов по решению</w:t>
      </w:r>
      <w:proofErr w:type="gramEnd"/>
      <w:r w:rsidRPr="00F142CC">
        <w:rPr>
          <w:szCs w:val="28"/>
        </w:rPr>
        <w:t xml:space="preserve"> суда. </w:t>
      </w:r>
    </w:p>
    <w:p w:rsidR="007F2AD9" w:rsidRDefault="007F2AD9" w:rsidP="00F142CC">
      <w:pPr>
        <w:ind w:firstLine="709"/>
        <w:jc w:val="both"/>
        <w:rPr>
          <w:szCs w:val="28"/>
        </w:rPr>
      </w:pPr>
    </w:p>
    <w:p w:rsidR="007F2AD9" w:rsidRDefault="007F2AD9" w:rsidP="00F142CC">
      <w:pPr>
        <w:ind w:firstLine="709"/>
        <w:jc w:val="both"/>
        <w:rPr>
          <w:szCs w:val="28"/>
        </w:rPr>
      </w:pPr>
    </w:p>
    <w:p w:rsidR="007F2AD9" w:rsidRDefault="007F2AD9" w:rsidP="00F142CC">
      <w:pPr>
        <w:ind w:firstLine="709"/>
        <w:jc w:val="both"/>
        <w:rPr>
          <w:szCs w:val="28"/>
        </w:rPr>
      </w:pPr>
    </w:p>
    <w:p w:rsidR="00F142CC" w:rsidRPr="00F142CC" w:rsidRDefault="00F142CC" w:rsidP="00F142CC">
      <w:pPr>
        <w:ind w:firstLine="709"/>
        <w:jc w:val="both"/>
        <w:rPr>
          <w:szCs w:val="28"/>
        </w:rPr>
      </w:pPr>
      <w:r w:rsidRPr="00F142CC">
        <w:rPr>
          <w:szCs w:val="28"/>
        </w:rPr>
        <w:t xml:space="preserve">По результатам рассмотрения Комиссией Тюменского УФАС России по контролю в сфере закупок  </w:t>
      </w:r>
      <w:bookmarkStart w:id="0" w:name="_GoBack"/>
      <w:bookmarkEnd w:id="0"/>
      <w:r w:rsidRPr="00F142CC">
        <w:rPr>
          <w:b/>
          <w:szCs w:val="28"/>
        </w:rPr>
        <w:t>39</w:t>
      </w:r>
      <w:r w:rsidRPr="00F142CC">
        <w:rPr>
          <w:szCs w:val="28"/>
        </w:rPr>
        <w:t xml:space="preserve"> фактов уклонения от заключения контрактов в </w:t>
      </w:r>
      <w:r w:rsidRPr="00F142CC">
        <w:rPr>
          <w:b/>
          <w:szCs w:val="28"/>
        </w:rPr>
        <w:t>19</w:t>
      </w:r>
      <w:r w:rsidRPr="00F142CC">
        <w:rPr>
          <w:szCs w:val="28"/>
        </w:rPr>
        <w:t xml:space="preserve"> случаях приняты решения о признании факта уклонения участников закупок от заключения контракта</w:t>
      </w:r>
      <w:r w:rsidRPr="00F142CC">
        <w:rPr>
          <w:b/>
          <w:szCs w:val="28"/>
        </w:rPr>
        <w:t xml:space="preserve"> </w:t>
      </w:r>
      <w:r w:rsidRPr="00F142CC">
        <w:rPr>
          <w:szCs w:val="28"/>
        </w:rPr>
        <w:t>подтвердившимся, в остальных  случаях достаточных оснований для включения сведений об участниках закупок в реестр недобросовестных поставщиков не имелось.</w:t>
      </w:r>
    </w:p>
    <w:p w:rsidR="00F142CC" w:rsidRPr="00F142CC" w:rsidRDefault="00F142CC" w:rsidP="00F142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 w:rsidRPr="00F142CC">
        <w:rPr>
          <w:szCs w:val="28"/>
        </w:rPr>
        <w:t xml:space="preserve">Кроме того, рассмотрено </w:t>
      </w:r>
      <w:r w:rsidRPr="00F142CC">
        <w:rPr>
          <w:b/>
          <w:szCs w:val="28"/>
        </w:rPr>
        <w:t>51</w:t>
      </w:r>
      <w:r w:rsidRPr="00F142CC">
        <w:rPr>
          <w:szCs w:val="28"/>
        </w:rPr>
        <w:t xml:space="preserve"> обращение заказчиков о включении в реестр недобросовестных поставщиков сведений в отношении тех участников закупок, с которой контракты были расторгнуты </w:t>
      </w:r>
      <w:r w:rsidRPr="00F142CC">
        <w:rPr>
          <w:rFonts w:eastAsia="Calibri"/>
          <w:szCs w:val="28"/>
          <w:lang w:eastAsia="en-US"/>
        </w:rPr>
        <w:t xml:space="preserve">в случае одностороннего отказа заказчика от исполнения контракта в связи с существенным нарушением ими условий контрактов, при этом по </w:t>
      </w:r>
      <w:r w:rsidRPr="00F142CC">
        <w:rPr>
          <w:rFonts w:eastAsia="Calibri"/>
          <w:b/>
          <w:szCs w:val="28"/>
          <w:lang w:eastAsia="en-US"/>
        </w:rPr>
        <w:t>40</w:t>
      </w:r>
      <w:r w:rsidRPr="00F142CC">
        <w:rPr>
          <w:rFonts w:eastAsia="Calibri"/>
          <w:szCs w:val="28"/>
          <w:lang w:eastAsia="en-US"/>
        </w:rPr>
        <w:t xml:space="preserve"> таким обращениям было принято решение о включении сведений в отношении таких хозяйствующих субъектов в реестр недобросовестных поставщиков,  </w:t>
      </w:r>
      <w:proofErr w:type="gramEnd"/>
    </w:p>
    <w:p w:rsidR="00F142CC" w:rsidRPr="00F142CC" w:rsidRDefault="00F142CC" w:rsidP="00F142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142CC">
        <w:rPr>
          <w:rFonts w:eastAsia="Calibri"/>
          <w:szCs w:val="28"/>
          <w:lang w:eastAsia="en-US"/>
        </w:rPr>
        <w:t xml:space="preserve">Необходимо  отметить, что в </w:t>
      </w:r>
      <w:r w:rsidRPr="00F142CC">
        <w:rPr>
          <w:rFonts w:eastAsia="Calibri"/>
          <w:b/>
          <w:szCs w:val="28"/>
          <w:lang w:eastAsia="en-US"/>
        </w:rPr>
        <w:t>5</w:t>
      </w:r>
      <w:r w:rsidRPr="00F142CC">
        <w:rPr>
          <w:rFonts w:eastAsia="Calibri"/>
          <w:szCs w:val="28"/>
          <w:lang w:eastAsia="en-US"/>
        </w:rPr>
        <w:t xml:space="preserve"> случаях основанием для отказа о включении сведений в отношении участников закупок  являлось, в том числе,  нарушение заказчиками процедуры расторжения контракта, установленной Законом о контрактной системе.</w:t>
      </w:r>
    </w:p>
    <w:p w:rsidR="006A6840" w:rsidRPr="006A6840" w:rsidRDefault="006A6840" w:rsidP="006A684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Всего по состоянию на 01.12</w:t>
      </w:r>
      <w:r w:rsidRPr="006A6840">
        <w:rPr>
          <w:color w:val="000000" w:themeColor="text1"/>
          <w:sz w:val="28"/>
          <w:szCs w:val="28"/>
        </w:rPr>
        <w:t>.2017</w:t>
      </w:r>
      <w:r>
        <w:rPr>
          <w:color w:val="000000" w:themeColor="text1"/>
          <w:sz w:val="28"/>
          <w:szCs w:val="28"/>
        </w:rPr>
        <w:t xml:space="preserve"> г.</w:t>
      </w:r>
      <w:r w:rsidRPr="006A6840">
        <w:rPr>
          <w:color w:val="000000" w:themeColor="text1"/>
          <w:sz w:val="28"/>
          <w:szCs w:val="28"/>
        </w:rPr>
        <w:t xml:space="preserve"> в реестре недобросовестных поставщиков </w:t>
      </w:r>
      <w:r>
        <w:rPr>
          <w:color w:val="000000" w:themeColor="text1"/>
          <w:sz w:val="28"/>
          <w:szCs w:val="28"/>
        </w:rPr>
        <w:t>(РНП) находится 143</w:t>
      </w:r>
      <w:r w:rsidRPr="006A6840">
        <w:rPr>
          <w:color w:val="000000" w:themeColor="text1"/>
          <w:sz w:val="28"/>
          <w:szCs w:val="28"/>
        </w:rPr>
        <w:t xml:space="preserve"> лиц, включенных </w:t>
      </w:r>
      <w:r>
        <w:rPr>
          <w:color w:val="000000" w:themeColor="text1"/>
          <w:sz w:val="28"/>
          <w:szCs w:val="28"/>
        </w:rPr>
        <w:t xml:space="preserve">территориальным антимонопольным органом </w:t>
      </w:r>
      <w:r w:rsidRPr="006A6840">
        <w:rPr>
          <w:color w:val="000000" w:themeColor="text1"/>
          <w:sz w:val="28"/>
          <w:szCs w:val="28"/>
        </w:rPr>
        <w:t>по обращениям государственных и м</w:t>
      </w:r>
      <w:r>
        <w:rPr>
          <w:color w:val="000000" w:themeColor="text1"/>
          <w:sz w:val="28"/>
          <w:szCs w:val="28"/>
        </w:rPr>
        <w:t>униципальных заказчиков Тюменской</w:t>
      </w:r>
      <w:r w:rsidRPr="006A6840">
        <w:rPr>
          <w:color w:val="000000" w:themeColor="text1"/>
          <w:sz w:val="28"/>
          <w:szCs w:val="28"/>
        </w:rPr>
        <w:t xml:space="preserve"> области.</w:t>
      </w:r>
    </w:p>
    <w:p w:rsidR="00F142CC" w:rsidRPr="00F142CC" w:rsidRDefault="00F142CC" w:rsidP="00F142CC">
      <w:pPr>
        <w:rPr>
          <w:sz w:val="16"/>
          <w:szCs w:val="16"/>
        </w:rPr>
      </w:pPr>
    </w:p>
    <w:p w:rsidR="00E776E2" w:rsidRPr="006A6840" w:rsidRDefault="00617389" w:rsidP="006A6840">
      <w:pPr>
        <w:pStyle w:val="aa"/>
        <w:ind w:firstLine="709"/>
        <w:jc w:val="both"/>
        <w:rPr>
          <w:sz w:val="28"/>
          <w:szCs w:val="28"/>
        </w:rPr>
      </w:pPr>
      <w:r w:rsidRPr="006A6840">
        <w:rPr>
          <w:sz w:val="28"/>
          <w:szCs w:val="28"/>
        </w:rPr>
        <w:t xml:space="preserve">Анализ практики ведения реестра недобросовестных  поставщиков (подрядчиков, исполнителей) позволяет выделить типичные нарушения порядка заключения контрактов, допускаемые  поставщиками (подрядчиками, исполнителями), которые приводят  признанию участников закупок уклонившимися от заключения контрактов.     </w:t>
      </w:r>
    </w:p>
    <w:p w:rsidR="00617389" w:rsidRPr="006A6840" w:rsidRDefault="00617389" w:rsidP="00617389">
      <w:pPr>
        <w:pStyle w:val="aa"/>
        <w:ind w:firstLine="709"/>
        <w:jc w:val="both"/>
        <w:rPr>
          <w:sz w:val="28"/>
          <w:szCs w:val="28"/>
        </w:rPr>
      </w:pPr>
      <w:r w:rsidRPr="006A6840">
        <w:rPr>
          <w:sz w:val="28"/>
          <w:szCs w:val="28"/>
        </w:rPr>
        <w:t>1) не подписание контракта в установленные сроки;</w:t>
      </w:r>
    </w:p>
    <w:p w:rsidR="00617389" w:rsidRPr="006A6840" w:rsidRDefault="00617389" w:rsidP="00617389">
      <w:pPr>
        <w:pStyle w:val="aa"/>
        <w:ind w:firstLine="709"/>
        <w:jc w:val="both"/>
        <w:rPr>
          <w:sz w:val="28"/>
          <w:szCs w:val="28"/>
        </w:rPr>
      </w:pPr>
      <w:r w:rsidRPr="006A6840">
        <w:rPr>
          <w:sz w:val="28"/>
          <w:szCs w:val="28"/>
        </w:rPr>
        <w:t xml:space="preserve">2) не представление заказчику надлежащего обеспечения исполнения контракта в установленный Законом о контрактной системе срок (например, отсутствие денежных средств на счёте для предоставления обеспечения исполнения контракта; представление обеспечения исполнения контракта без учета антидемпинговых мер и (или) части 9 статьи 37 Закона о контрактной системе; </w:t>
      </w:r>
    </w:p>
    <w:p w:rsidR="00617389" w:rsidRPr="006A6840" w:rsidRDefault="00617389" w:rsidP="00617389">
      <w:pPr>
        <w:pStyle w:val="aa"/>
        <w:ind w:firstLine="709"/>
        <w:jc w:val="both"/>
        <w:rPr>
          <w:sz w:val="28"/>
          <w:szCs w:val="28"/>
        </w:rPr>
      </w:pPr>
      <w:r w:rsidRPr="006A6840">
        <w:rPr>
          <w:sz w:val="28"/>
          <w:szCs w:val="28"/>
        </w:rPr>
        <w:t xml:space="preserve">3) </w:t>
      </w:r>
      <w:r w:rsidRPr="006A6840">
        <w:rPr>
          <w:sz w:val="28"/>
          <w:szCs w:val="28"/>
        </w:rPr>
        <w:t>предоставлени</w:t>
      </w:r>
      <w:r w:rsidR="007F2AD9">
        <w:rPr>
          <w:sz w:val="28"/>
          <w:szCs w:val="28"/>
        </w:rPr>
        <w:t>е</w:t>
      </w:r>
      <w:r w:rsidRPr="006A6840">
        <w:rPr>
          <w:sz w:val="28"/>
          <w:szCs w:val="28"/>
        </w:rPr>
        <w:t xml:space="preserve"> банковской гарантии, не соответствующей требованиям статей 45,96 Закона о контрактной системе (срок действия банковской гарантии составляет менее срока действия контракта, отсутствие банковской гарантии в Реестре банковских гарантий)</w:t>
      </w:r>
      <w:r w:rsidRPr="006A6840">
        <w:rPr>
          <w:sz w:val="28"/>
          <w:szCs w:val="28"/>
        </w:rPr>
        <w:t>;</w:t>
      </w:r>
    </w:p>
    <w:p w:rsidR="00617389" w:rsidRPr="006A6840" w:rsidRDefault="00617389" w:rsidP="00617389">
      <w:pPr>
        <w:pStyle w:val="aa"/>
        <w:ind w:firstLine="709"/>
        <w:jc w:val="both"/>
        <w:rPr>
          <w:sz w:val="28"/>
          <w:szCs w:val="28"/>
        </w:rPr>
      </w:pPr>
      <w:r w:rsidRPr="006A6840">
        <w:rPr>
          <w:sz w:val="28"/>
          <w:szCs w:val="28"/>
        </w:rPr>
        <w:t xml:space="preserve"> </w:t>
      </w:r>
      <w:r w:rsidRPr="006A6840">
        <w:rPr>
          <w:sz w:val="28"/>
          <w:szCs w:val="28"/>
        </w:rPr>
        <w:t xml:space="preserve">4) </w:t>
      </w:r>
      <w:r w:rsidRPr="006A6840">
        <w:rPr>
          <w:sz w:val="28"/>
          <w:szCs w:val="28"/>
        </w:rPr>
        <w:t>отсутствие электронной подписи, необходимой для заключения контракта (поломка, утрата подписи);</w:t>
      </w:r>
    </w:p>
    <w:p w:rsidR="00F142CC" w:rsidRPr="007F2AD9" w:rsidRDefault="00617389" w:rsidP="007F2AD9">
      <w:pPr>
        <w:pStyle w:val="aa"/>
        <w:ind w:firstLine="709"/>
        <w:jc w:val="both"/>
        <w:rPr>
          <w:sz w:val="28"/>
          <w:szCs w:val="28"/>
        </w:rPr>
      </w:pPr>
      <w:r w:rsidRPr="006A6840">
        <w:rPr>
          <w:sz w:val="28"/>
          <w:szCs w:val="28"/>
        </w:rPr>
        <w:t>5</w:t>
      </w:r>
      <w:r w:rsidRPr="006A6840">
        <w:rPr>
          <w:sz w:val="28"/>
          <w:szCs w:val="28"/>
        </w:rPr>
        <w:t xml:space="preserve">) направление протокола разногласий по истечении тринадцати дней </w:t>
      </w:r>
      <w:proofErr w:type="gramStart"/>
      <w:r w:rsidRPr="006A6840">
        <w:rPr>
          <w:sz w:val="28"/>
          <w:szCs w:val="28"/>
        </w:rPr>
        <w:t>с даты размещения</w:t>
      </w:r>
      <w:proofErr w:type="gramEnd"/>
      <w:r w:rsidRPr="006A6840">
        <w:rPr>
          <w:sz w:val="28"/>
          <w:szCs w:val="28"/>
        </w:rPr>
        <w:t xml:space="preserve"> в Единой информационной системе в сфере закупок протокола рассмотрения заявок на аукционе.</w:t>
      </w:r>
    </w:p>
    <w:p w:rsidR="00F142CC" w:rsidRPr="006A6840" w:rsidRDefault="00F142CC" w:rsidP="007F2AD9">
      <w:pPr>
        <w:autoSpaceDE w:val="0"/>
        <w:autoSpaceDN w:val="0"/>
        <w:adjustRightInd w:val="0"/>
        <w:jc w:val="both"/>
        <w:rPr>
          <w:rFonts w:eastAsia="MS Mincho"/>
          <w:szCs w:val="28"/>
        </w:rPr>
      </w:pPr>
    </w:p>
    <w:p w:rsidR="00053611" w:rsidRPr="006A6840" w:rsidRDefault="00053611" w:rsidP="00053611">
      <w:pPr>
        <w:jc w:val="both"/>
        <w:rPr>
          <w:rFonts w:ascii="Roboto Slab" w:hAnsi="Roboto Slab"/>
          <w:szCs w:val="28"/>
        </w:rPr>
      </w:pPr>
    </w:p>
    <w:sectPr w:rsidR="00053611" w:rsidRPr="006A6840" w:rsidSect="00542D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Slab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83EFFF2"/>
    <w:lvl w:ilvl="0">
      <w:start w:val="1"/>
      <w:numFmt w:val="none"/>
      <w:pStyle w:val="a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71"/>
    <w:rsid w:val="00006889"/>
    <w:rsid w:val="00035137"/>
    <w:rsid w:val="00045A12"/>
    <w:rsid w:val="00053611"/>
    <w:rsid w:val="00065126"/>
    <w:rsid w:val="000835FF"/>
    <w:rsid w:val="000A0D08"/>
    <w:rsid w:val="000A7CA4"/>
    <w:rsid w:val="000B5F53"/>
    <w:rsid w:val="000C046A"/>
    <w:rsid w:val="000F01AB"/>
    <w:rsid w:val="001427D0"/>
    <w:rsid w:val="001B120F"/>
    <w:rsid w:val="001F339C"/>
    <w:rsid w:val="00202119"/>
    <w:rsid w:val="00213D34"/>
    <w:rsid w:val="0029710E"/>
    <w:rsid w:val="002A7A97"/>
    <w:rsid w:val="002B628E"/>
    <w:rsid w:val="00302CDD"/>
    <w:rsid w:val="003771DF"/>
    <w:rsid w:val="00385AAC"/>
    <w:rsid w:val="003E4E46"/>
    <w:rsid w:val="003F663C"/>
    <w:rsid w:val="004059D0"/>
    <w:rsid w:val="00496399"/>
    <w:rsid w:val="004A0771"/>
    <w:rsid w:val="00517853"/>
    <w:rsid w:val="005407D7"/>
    <w:rsid w:val="00542DBD"/>
    <w:rsid w:val="005709D1"/>
    <w:rsid w:val="005906D9"/>
    <w:rsid w:val="00617389"/>
    <w:rsid w:val="006763C3"/>
    <w:rsid w:val="006948AA"/>
    <w:rsid w:val="006A6840"/>
    <w:rsid w:val="006E4C82"/>
    <w:rsid w:val="0070666C"/>
    <w:rsid w:val="00711D06"/>
    <w:rsid w:val="00727B6D"/>
    <w:rsid w:val="00735D9C"/>
    <w:rsid w:val="00740080"/>
    <w:rsid w:val="0074258C"/>
    <w:rsid w:val="00744C55"/>
    <w:rsid w:val="0075638C"/>
    <w:rsid w:val="00775821"/>
    <w:rsid w:val="00776EAB"/>
    <w:rsid w:val="00793009"/>
    <w:rsid w:val="00797C54"/>
    <w:rsid w:val="007A7BF6"/>
    <w:rsid w:val="007C1BF6"/>
    <w:rsid w:val="007E2ED9"/>
    <w:rsid w:val="007F2AD9"/>
    <w:rsid w:val="007F5959"/>
    <w:rsid w:val="0083468A"/>
    <w:rsid w:val="00854DEF"/>
    <w:rsid w:val="00860EF7"/>
    <w:rsid w:val="008873BF"/>
    <w:rsid w:val="008A4897"/>
    <w:rsid w:val="008C3103"/>
    <w:rsid w:val="008C5576"/>
    <w:rsid w:val="008D583D"/>
    <w:rsid w:val="00925B18"/>
    <w:rsid w:val="00956A94"/>
    <w:rsid w:val="009B6633"/>
    <w:rsid w:val="009C055D"/>
    <w:rsid w:val="009C3D74"/>
    <w:rsid w:val="009C5C20"/>
    <w:rsid w:val="009F2E6A"/>
    <w:rsid w:val="009F5890"/>
    <w:rsid w:val="00A57A52"/>
    <w:rsid w:val="00A64F18"/>
    <w:rsid w:val="00A75133"/>
    <w:rsid w:val="00AA18B2"/>
    <w:rsid w:val="00AD5F18"/>
    <w:rsid w:val="00AE7841"/>
    <w:rsid w:val="00B06DE9"/>
    <w:rsid w:val="00B24252"/>
    <w:rsid w:val="00B6708C"/>
    <w:rsid w:val="00B729DC"/>
    <w:rsid w:val="00B74370"/>
    <w:rsid w:val="00B77101"/>
    <w:rsid w:val="00BC601D"/>
    <w:rsid w:val="00BF4273"/>
    <w:rsid w:val="00C00767"/>
    <w:rsid w:val="00C555D2"/>
    <w:rsid w:val="00C672CB"/>
    <w:rsid w:val="00C7721D"/>
    <w:rsid w:val="00CB760A"/>
    <w:rsid w:val="00CC4605"/>
    <w:rsid w:val="00CC543D"/>
    <w:rsid w:val="00CE4A20"/>
    <w:rsid w:val="00CF67A6"/>
    <w:rsid w:val="00D0309A"/>
    <w:rsid w:val="00D2225A"/>
    <w:rsid w:val="00D276C7"/>
    <w:rsid w:val="00D3007F"/>
    <w:rsid w:val="00D46204"/>
    <w:rsid w:val="00D842D4"/>
    <w:rsid w:val="00D86575"/>
    <w:rsid w:val="00D9396E"/>
    <w:rsid w:val="00DD39B6"/>
    <w:rsid w:val="00DE188F"/>
    <w:rsid w:val="00E41332"/>
    <w:rsid w:val="00E56D89"/>
    <w:rsid w:val="00E776E2"/>
    <w:rsid w:val="00E81735"/>
    <w:rsid w:val="00E949B8"/>
    <w:rsid w:val="00EA761D"/>
    <w:rsid w:val="00EB0911"/>
    <w:rsid w:val="00EB3CD5"/>
    <w:rsid w:val="00EB46B0"/>
    <w:rsid w:val="00EF7F05"/>
    <w:rsid w:val="00F142CC"/>
    <w:rsid w:val="00F245E6"/>
    <w:rsid w:val="00F33D92"/>
    <w:rsid w:val="00F439B7"/>
    <w:rsid w:val="00F4740F"/>
    <w:rsid w:val="00F52875"/>
    <w:rsid w:val="00F63663"/>
    <w:rsid w:val="00FA23FC"/>
    <w:rsid w:val="00FA56C2"/>
    <w:rsid w:val="00FE0950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890"/>
    <w:rPr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F5890"/>
    <w:pPr>
      <w:keepNext/>
      <w:outlineLvl w:val="0"/>
    </w:pPr>
    <w:rPr>
      <w:sz w:val="32"/>
      <w:szCs w:val="20"/>
    </w:rPr>
  </w:style>
  <w:style w:type="paragraph" w:styleId="2">
    <w:name w:val="heading 2"/>
    <w:basedOn w:val="a0"/>
    <w:next w:val="a0"/>
    <w:link w:val="20"/>
    <w:qFormat/>
    <w:rsid w:val="009F5890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9F5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727B6D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z w:val="22"/>
      <w:lang w:val="x-none" w:eastAsia="ar-SA"/>
    </w:rPr>
  </w:style>
  <w:style w:type="paragraph" w:styleId="5">
    <w:name w:val="heading 5"/>
    <w:basedOn w:val="a0"/>
    <w:next w:val="a0"/>
    <w:link w:val="50"/>
    <w:uiPriority w:val="99"/>
    <w:qFormat/>
    <w:rsid w:val="00727B6D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iPriority w:val="99"/>
    <w:qFormat/>
    <w:rsid w:val="00727B6D"/>
    <w:pPr>
      <w:keepNext/>
      <w:numPr>
        <w:ilvl w:val="5"/>
        <w:numId w:val="1"/>
      </w:numPr>
      <w:suppressAutoHyphens/>
      <w:ind w:left="4320" w:hanging="180"/>
      <w:outlineLvl w:val="5"/>
    </w:pPr>
    <w:rPr>
      <w:sz w:val="32"/>
      <w:lang w:val="x-none" w:eastAsia="ar-SA"/>
    </w:rPr>
  </w:style>
  <w:style w:type="paragraph" w:styleId="8">
    <w:name w:val="heading 8"/>
    <w:basedOn w:val="a0"/>
    <w:next w:val="a0"/>
    <w:link w:val="80"/>
    <w:uiPriority w:val="99"/>
    <w:qFormat/>
    <w:rsid w:val="00727B6D"/>
    <w:pPr>
      <w:widowControl w:val="0"/>
      <w:numPr>
        <w:ilvl w:val="7"/>
        <w:numId w:val="1"/>
      </w:numPr>
      <w:suppressAutoHyphens/>
      <w:spacing w:before="240" w:after="60"/>
      <w:outlineLvl w:val="7"/>
    </w:pPr>
    <w:rPr>
      <w:rFonts w:ascii="Calibri" w:hAnsi="Calibri"/>
      <w:i/>
      <w:iCs/>
      <w:kern w:val="1"/>
      <w:sz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5890"/>
    <w:rPr>
      <w:sz w:val="32"/>
      <w:lang w:eastAsia="ru-RU"/>
    </w:rPr>
  </w:style>
  <w:style w:type="character" w:customStyle="1" w:styleId="20">
    <w:name w:val="Заголовок 2 Знак"/>
    <w:basedOn w:val="a1"/>
    <w:link w:val="2"/>
    <w:rsid w:val="009F5890"/>
    <w:rPr>
      <w:sz w:val="32"/>
      <w:lang w:eastAsia="ru-RU"/>
    </w:rPr>
  </w:style>
  <w:style w:type="character" w:customStyle="1" w:styleId="30">
    <w:name w:val="Заголовок 3 Знак"/>
    <w:basedOn w:val="a1"/>
    <w:link w:val="3"/>
    <w:rsid w:val="009F5890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0A0D08"/>
    <w:pPr>
      <w:spacing w:before="100" w:beforeAutospacing="1" w:after="360" w:line="360" w:lineRule="atLeast"/>
    </w:pPr>
    <w:rPr>
      <w:rFonts w:ascii="Open Sans" w:hAnsi="Open Sans"/>
      <w:sz w:val="24"/>
    </w:rPr>
  </w:style>
  <w:style w:type="character" w:customStyle="1" w:styleId="40">
    <w:name w:val="Заголовок 4 Знак"/>
    <w:basedOn w:val="a1"/>
    <w:link w:val="4"/>
    <w:uiPriority w:val="99"/>
    <w:rsid w:val="00727B6D"/>
    <w:rPr>
      <w:b/>
      <w:bCs/>
      <w:sz w:val="22"/>
      <w:szCs w:val="24"/>
      <w:lang w:val="x-none" w:eastAsia="ar-SA"/>
    </w:rPr>
  </w:style>
  <w:style w:type="character" w:customStyle="1" w:styleId="50">
    <w:name w:val="Заголовок 5 Знак"/>
    <w:basedOn w:val="a1"/>
    <w:link w:val="5"/>
    <w:uiPriority w:val="99"/>
    <w:rsid w:val="00727B6D"/>
    <w:rPr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1"/>
    <w:link w:val="6"/>
    <w:uiPriority w:val="99"/>
    <w:rsid w:val="00727B6D"/>
    <w:rPr>
      <w:sz w:val="32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uiPriority w:val="99"/>
    <w:rsid w:val="00727B6D"/>
    <w:rPr>
      <w:rFonts w:ascii="Calibri" w:hAnsi="Calibri"/>
      <w:i/>
      <w:iCs/>
      <w:kern w:val="1"/>
      <w:sz w:val="24"/>
      <w:szCs w:val="24"/>
      <w:lang w:val="x-none" w:eastAsia="ar-SA"/>
    </w:rPr>
  </w:style>
  <w:style w:type="paragraph" w:styleId="a">
    <w:name w:val="List Bullet"/>
    <w:basedOn w:val="a0"/>
    <w:uiPriority w:val="99"/>
    <w:unhideWhenUsed/>
    <w:rsid w:val="00727B6D"/>
    <w:pPr>
      <w:numPr>
        <w:numId w:val="1"/>
      </w:numPr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0"/>
    <w:link w:val="210"/>
    <w:unhideWhenUsed/>
    <w:rsid w:val="002A7A9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1"/>
    <w:uiPriority w:val="99"/>
    <w:semiHidden/>
    <w:rsid w:val="002A7A97"/>
    <w:rPr>
      <w:sz w:val="28"/>
      <w:szCs w:val="24"/>
      <w:lang w:eastAsia="ru-RU"/>
    </w:rPr>
  </w:style>
  <w:style w:type="character" w:customStyle="1" w:styleId="210">
    <w:name w:val="Основной текст с отступом 2 Знак1"/>
    <w:basedOn w:val="a1"/>
    <w:link w:val="21"/>
    <w:locked/>
    <w:rsid w:val="002A7A97"/>
    <w:rPr>
      <w:sz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7C1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C1BF6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uiPriority w:val="99"/>
    <w:semiHidden/>
    <w:unhideWhenUsed/>
    <w:rsid w:val="000B5F5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0B5F53"/>
    <w:rPr>
      <w:sz w:val="28"/>
      <w:szCs w:val="24"/>
      <w:lang w:eastAsia="ru-RU"/>
    </w:rPr>
  </w:style>
  <w:style w:type="paragraph" w:customStyle="1" w:styleId="ConsPlusNormal">
    <w:name w:val="ConsPlusNormal"/>
    <w:rsid w:val="0003513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a9">
    <w:name w:val="Знак"/>
    <w:basedOn w:val="a0"/>
    <w:rsid w:val="00D222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 Spacing"/>
    <w:link w:val="ab"/>
    <w:uiPriority w:val="1"/>
    <w:qFormat/>
    <w:rsid w:val="005407D7"/>
    <w:pPr>
      <w:suppressAutoHyphens/>
    </w:pPr>
    <w:rPr>
      <w:sz w:val="24"/>
      <w:szCs w:val="24"/>
      <w:lang w:eastAsia="ar-SA"/>
    </w:rPr>
  </w:style>
  <w:style w:type="character" w:customStyle="1" w:styleId="ab">
    <w:name w:val="Без интервала Знак"/>
    <w:link w:val="aa"/>
    <w:uiPriority w:val="1"/>
    <w:locked/>
    <w:rsid w:val="005407D7"/>
    <w:rPr>
      <w:sz w:val="24"/>
      <w:szCs w:val="24"/>
      <w:lang w:eastAsia="ar-SA"/>
    </w:rPr>
  </w:style>
  <w:style w:type="paragraph" w:customStyle="1" w:styleId="ac">
    <w:name w:val=" Знак"/>
    <w:basedOn w:val="a0"/>
    <w:rsid w:val="00E776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890"/>
    <w:rPr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F5890"/>
    <w:pPr>
      <w:keepNext/>
      <w:outlineLvl w:val="0"/>
    </w:pPr>
    <w:rPr>
      <w:sz w:val="32"/>
      <w:szCs w:val="20"/>
    </w:rPr>
  </w:style>
  <w:style w:type="paragraph" w:styleId="2">
    <w:name w:val="heading 2"/>
    <w:basedOn w:val="a0"/>
    <w:next w:val="a0"/>
    <w:link w:val="20"/>
    <w:qFormat/>
    <w:rsid w:val="009F5890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9F5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727B6D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z w:val="22"/>
      <w:lang w:val="x-none" w:eastAsia="ar-SA"/>
    </w:rPr>
  </w:style>
  <w:style w:type="paragraph" w:styleId="5">
    <w:name w:val="heading 5"/>
    <w:basedOn w:val="a0"/>
    <w:next w:val="a0"/>
    <w:link w:val="50"/>
    <w:uiPriority w:val="99"/>
    <w:qFormat/>
    <w:rsid w:val="00727B6D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iPriority w:val="99"/>
    <w:qFormat/>
    <w:rsid w:val="00727B6D"/>
    <w:pPr>
      <w:keepNext/>
      <w:numPr>
        <w:ilvl w:val="5"/>
        <w:numId w:val="1"/>
      </w:numPr>
      <w:suppressAutoHyphens/>
      <w:ind w:left="4320" w:hanging="180"/>
      <w:outlineLvl w:val="5"/>
    </w:pPr>
    <w:rPr>
      <w:sz w:val="32"/>
      <w:lang w:val="x-none" w:eastAsia="ar-SA"/>
    </w:rPr>
  </w:style>
  <w:style w:type="paragraph" w:styleId="8">
    <w:name w:val="heading 8"/>
    <w:basedOn w:val="a0"/>
    <w:next w:val="a0"/>
    <w:link w:val="80"/>
    <w:uiPriority w:val="99"/>
    <w:qFormat/>
    <w:rsid w:val="00727B6D"/>
    <w:pPr>
      <w:widowControl w:val="0"/>
      <w:numPr>
        <w:ilvl w:val="7"/>
        <w:numId w:val="1"/>
      </w:numPr>
      <w:suppressAutoHyphens/>
      <w:spacing w:before="240" w:after="60"/>
      <w:outlineLvl w:val="7"/>
    </w:pPr>
    <w:rPr>
      <w:rFonts w:ascii="Calibri" w:hAnsi="Calibri"/>
      <w:i/>
      <w:iCs/>
      <w:kern w:val="1"/>
      <w:sz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5890"/>
    <w:rPr>
      <w:sz w:val="32"/>
      <w:lang w:eastAsia="ru-RU"/>
    </w:rPr>
  </w:style>
  <w:style w:type="character" w:customStyle="1" w:styleId="20">
    <w:name w:val="Заголовок 2 Знак"/>
    <w:basedOn w:val="a1"/>
    <w:link w:val="2"/>
    <w:rsid w:val="009F5890"/>
    <w:rPr>
      <w:sz w:val="32"/>
      <w:lang w:eastAsia="ru-RU"/>
    </w:rPr>
  </w:style>
  <w:style w:type="character" w:customStyle="1" w:styleId="30">
    <w:name w:val="Заголовок 3 Знак"/>
    <w:basedOn w:val="a1"/>
    <w:link w:val="3"/>
    <w:rsid w:val="009F5890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0A0D08"/>
    <w:pPr>
      <w:spacing w:before="100" w:beforeAutospacing="1" w:after="360" w:line="360" w:lineRule="atLeast"/>
    </w:pPr>
    <w:rPr>
      <w:rFonts w:ascii="Open Sans" w:hAnsi="Open Sans"/>
      <w:sz w:val="24"/>
    </w:rPr>
  </w:style>
  <w:style w:type="character" w:customStyle="1" w:styleId="40">
    <w:name w:val="Заголовок 4 Знак"/>
    <w:basedOn w:val="a1"/>
    <w:link w:val="4"/>
    <w:uiPriority w:val="99"/>
    <w:rsid w:val="00727B6D"/>
    <w:rPr>
      <w:b/>
      <w:bCs/>
      <w:sz w:val="22"/>
      <w:szCs w:val="24"/>
      <w:lang w:val="x-none" w:eastAsia="ar-SA"/>
    </w:rPr>
  </w:style>
  <w:style w:type="character" w:customStyle="1" w:styleId="50">
    <w:name w:val="Заголовок 5 Знак"/>
    <w:basedOn w:val="a1"/>
    <w:link w:val="5"/>
    <w:uiPriority w:val="99"/>
    <w:rsid w:val="00727B6D"/>
    <w:rPr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1"/>
    <w:link w:val="6"/>
    <w:uiPriority w:val="99"/>
    <w:rsid w:val="00727B6D"/>
    <w:rPr>
      <w:sz w:val="32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uiPriority w:val="99"/>
    <w:rsid w:val="00727B6D"/>
    <w:rPr>
      <w:rFonts w:ascii="Calibri" w:hAnsi="Calibri"/>
      <w:i/>
      <w:iCs/>
      <w:kern w:val="1"/>
      <w:sz w:val="24"/>
      <w:szCs w:val="24"/>
      <w:lang w:val="x-none" w:eastAsia="ar-SA"/>
    </w:rPr>
  </w:style>
  <w:style w:type="paragraph" w:styleId="a">
    <w:name w:val="List Bullet"/>
    <w:basedOn w:val="a0"/>
    <w:uiPriority w:val="99"/>
    <w:unhideWhenUsed/>
    <w:rsid w:val="00727B6D"/>
    <w:pPr>
      <w:numPr>
        <w:numId w:val="1"/>
      </w:numPr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0"/>
    <w:link w:val="210"/>
    <w:unhideWhenUsed/>
    <w:rsid w:val="002A7A9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1"/>
    <w:uiPriority w:val="99"/>
    <w:semiHidden/>
    <w:rsid w:val="002A7A97"/>
    <w:rPr>
      <w:sz w:val="28"/>
      <w:szCs w:val="24"/>
      <w:lang w:eastAsia="ru-RU"/>
    </w:rPr>
  </w:style>
  <w:style w:type="character" w:customStyle="1" w:styleId="210">
    <w:name w:val="Основной текст с отступом 2 Знак1"/>
    <w:basedOn w:val="a1"/>
    <w:link w:val="21"/>
    <w:locked/>
    <w:rsid w:val="002A7A97"/>
    <w:rPr>
      <w:sz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7C1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C1BF6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uiPriority w:val="99"/>
    <w:semiHidden/>
    <w:unhideWhenUsed/>
    <w:rsid w:val="000B5F5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0B5F53"/>
    <w:rPr>
      <w:sz w:val="28"/>
      <w:szCs w:val="24"/>
      <w:lang w:eastAsia="ru-RU"/>
    </w:rPr>
  </w:style>
  <w:style w:type="paragraph" w:customStyle="1" w:styleId="ConsPlusNormal">
    <w:name w:val="ConsPlusNormal"/>
    <w:rsid w:val="0003513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a9">
    <w:name w:val="Знак"/>
    <w:basedOn w:val="a0"/>
    <w:rsid w:val="00D222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 Spacing"/>
    <w:link w:val="ab"/>
    <w:uiPriority w:val="1"/>
    <w:qFormat/>
    <w:rsid w:val="005407D7"/>
    <w:pPr>
      <w:suppressAutoHyphens/>
    </w:pPr>
    <w:rPr>
      <w:sz w:val="24"/>
      <w:szCs w:val="24"/>
      <w:lang w:eastAsia="ar-SA"/>
    </w:rPr>
  </w:style>
  <w:style w:type="character" w:customStyle="1" w:styleId="ab">
    <w:name w:val="Без интервала Знак"/>
    <w:link w:val="aa"/>
    <w:uiPriority w:val="1"/>
    <w:locked/>
    <w:rsid w:val="005407D7"/>
    <w:rPr>
      <w:sz w:val="24"/>
      <w:szCs w:val="24"/>
      <w:lang w:eastAsia="ar-SA"/>
    </w:rPr>
  </w:style>
  <w:style w:type="paragraph" w:customStyle="1" w:styleId="ac">
    <w:name w:val=" Знак"/>
    <w:basedOn w:val="a0"/>
    <w:rsid w:val="00E776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98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A6CCB917E0ABDF184BF60512CE5AD789F39EA1ECFB63C0E70A596986C5C8A8C4ED1E07E7BBE952wFm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4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Дмитриевич Верзун</dc:creator>
  <cp:lastModifiedBy>Юрий Дмитриевич Верзун</cp:lastModifiedBy>
  <cp:revision>28</cp:revision>
  <cp:lastPrinted>2017-06-15T11:46:00Z</cp:lastPrinted>
  <dcterms:created xsi:type="dcterms:W3CDTF">2016-11-21T10:21:00Z</dcterms:created>
  <dcterms:modified xsi:type="dcterms:W3CDTF">2017-12-13T10:24:00Z</dcterms:modified>
</cp:coreProperties>
</file>